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9273" w14:textId="3B705695" w:rsidR="00D77EE3" w:rsidRPr="00981327" w:rsidRDefault="00294BC1" w:rsidP="00294BC1">
      <w:pPr>
        <w:pStyle w:val="Heading1"/>
        <w:jc w:val="center"/>
        <w:rPr>
          <w:rFonts w:ascii="Arial" w:hAnsi="Arial" w:cs="Arial"/>
          <w:b/>
          <w:bCs/>
          <w:lang w:val="en-GB"/>
        </w:rPr>
      </w:pPr>
      <w:r w:rsidRPr="00981327">
        <w:rPr>
          <w:rFonts w:ascii="Arial" w:hAnsi="Arial" w:cs="Arial"/>
          <w:b/>
          <w:bCs/>
          <w:lang w:val="en-GB"/>
        </w:rPr>
        <w:t>SURENEXUS Stakeholders Platform</w:t>
      </w:r>
      <w:r w:rsidR="004A2622" w:rsidRPr="00981327">
        <w:rPr>
          <w:rFonts w:ascii="Arial" w:hAnsi="Arial" w:cs="Arial"/>
          <w:b/>
          <w:bCs/>
          <w:lang w:val="en-GB"/>
        </w:rPr>
        <w:t xml:space="preserve"> Guidelines</w:t>
      </w:r>
    </w:p>
    <w:p w14:paraId="5DF00637" w14:textId="77777777" w:rsidR="00054FDD" w:rsidRPr="001736FB" w:rsidRDefault="00054FDD" w:rsidP="001736FB">
      <w:pPr>
        <w:spacing w:before="120" w:line="276" w:lineRule="auto"/>
        <w:jc w:val="both"/>
        <w:rPr>
          <w:sz w:val="22"/>
          <w:lang w:val="en-GB"/>
        </w:rPr>
      </w:pPr>
    </w:p>
    <w:p w14:paraId="29A6F984" w14:textId="6D04E60F" w:rsidR="00703F6A" w:rsidRPr="00981327" w:rsidRDefault="00703F6A" w:rsidP="00703F6A">
      <w:pPr>
        <w:spacing w:before="120" w:line="276" w:lineRule="auto"/>
        <w:jc w:val="both"/>
        <w:rPr>
          <w:rFonts w:ascii="Arial" w:hAnsi="Arial" w:cs="Arial"/>
          <w:sz w:val="22"/>
          <w:lang w:val="en-US"/>
        </w:rPr>
      </w:pPr>
      <w:r w:rsidRPr="00981327">
        <w:rPr>
          <w:rFonts w:ascii="Arial" w:hAnsi="Arial" w:cs="Arial"/>
          <w:sz w:val="22"/>
          <w:lang w:val="en-US"/>
        </w:rPr>
        <w:t>The PRIMA-funded project, </w:t>
      </w:r>
      <w:r w:rsidRPr="00981327">
        <w:rPr>
          <w:rFonts w:ascii="Arial" w:hAnsi="Arial" w:cs="Arial"/>
          <w:b/>
          <w:bCs/>
          <w:sz w:val="22"/>
          <w:lang w:val="en-US"/>
        </w:rPr>
        <w:t>SURENEXUS</w:t>
      </w:r>
      <w:r w:rsidRPr="00981327">
        <w:rPr>
          <w:rFonts w:ascii="Arial" w:hAnsi="Arial" w:cs="Arial"/>
          <w:sz w:val="22"/>
          <w:lang w:val="en-US"/>
        </w:rPr>
        <w:t> (Ensure Fair NEXUS Transition for Climate Change Adaptation and Sustainable Development), develops and tests solutions based on the Water-Energy-Food-Ecosystems (WEFE) Nexus. These solutions integrate ecosystem-based, scientific, and cutting-edge approaches to equitably and sustainably enhance climate resilience across diverse Mediterranean landscapes.</w:t>
      </w:r>
    </w:p>
    <w:p w14:paraId="05BEFE98" w14:textId="4AB0A296" w:rsidR="00703F6A" w:rsidRPr="00981327" w:rsidRDefault="00703F6A" w:rsidP="00703F6A">
      <w:pPr>
        <w:spacing w:before="120" w:line="276" w:lineRule="auto"/>
        <w:jc w:val="both"/>
        <w:rPr>
          <w:rFonts w:ascii="Arial" w:hAnsi="Arial" w:cs="Arial"/>
          <w:sz w:val="22"/>
          <w:lang w:val="en-US"/>
        </w:rPr>
      </w:pPr>
      <w:r w:rsidRPr="00981327">
        <w:rPr>
          <w:rFonts w:ascii="Arial" w:hAnsi="Arial" w:cs="Arial"/>
          <w:sz w:val="22"/>
          <w:lang w:val="en-US"/>
        </w:rPr>
        <w:t xml:space="preserve">The project establishes </w:t>
      </w:r>
      <w:r w:rsidRPr="00981327">
        <w:rPr>
          <w:rFonts w:ascii="Arial" w:hAnsi="Arial" w:cs="Arial"/>
          <w:b/>
          <w:bCs/>
          <w:sz w:val="22"/>
          <w:lang w:val="en-US"/>
        </w:rPr>
        <w:t xml:space="preserve">four innovative </w:t>
      </w:r>
      <w:r>
        <w:rPr>
          <w:rFonts w:ascii="Arial" w:hAnsi="Arial" w:cs="Arial"/>
          <w:b/>
          <w:bCs/>
          <w:sz w:val="22"/>
          <w:lang w:val="en-US"/>
        </w:rPr>
        <w:t>demosites</w:t>
      </w:r>
      <w:r w:rsidRPr="00981327">
        <w:rPr>
          <w:rFonts w:ascii="Arial" w:hAnsi="Arial" w:cs="Arial"/>
          <w:sz w:val="22"/>
          <w:lang w:val="en-US"/>
        </w:rPr>
        <w:t xml:space="preserve"> to demonstrate small-scale bioeconomy practices and nature-based solutions. These </w:t>
      </w:r>
      <w:r>
        <w:rPr>
          <w:rFonts w:ascii="Arial" w:hAnsi="Arial" w:cs="Arial"/>
          <w:sz w:val="22"/>
          <w:lang w:val="en-US"/>
        </w:rPr>
        <w:t>demosites</w:t>
      </w:r>
      <w:r w:rsidRPr="00981327">
        <w:rPr>
          <w:rFonts w:ascii="Arial" w:hAnsi="Arial" w:cs="Arial"/>
          <w:sz w:val="22"/>
          <w:lang w:val="en-US"/>
        </w:rPr>
        <w:t xml:space="preserve"> evaluate the productivity and benefits of these practices for local communities. Additionally, S</w:t>
      </w:r>
      <w:r>
        <w:rPr>
          <w:rFonts w:ascii="Arial" w:hAnsi="Arial" w:cs="Arial"/>
          <w:sz w:val="22"/>
          <w:lang w:val="en-US"/>
        </w:rPr>
        <w:t>ureNexus</w:t>
      </w:r>
      <w:r w:rsidRPr="00981327">
        <w:rPr>
          <w:rFonts w:ascii="Arial" w:hAnsi="Arial" w:cs="Arial"/>
          <w:sz w:val="22"/>
          <w:lang w:val="en-US"/>
        </w:rPr>
        <w:t xml:space="preserve"> identifies key factors enabling the </w:t>
      </w:r>
      <w:r>
        <w:rPr>
          <w:rFonts w:ascii="Arial" w:hAnsi="Arial" w:cs="Arial"/>
          <w:sz w:val="22"/>
          <w:lang w:val="en-US"/>
        </w:rPr>
        <w:t>N</w:t>
      </w:r>
      <w:r w:rsidRPr="00981327">
        <w:rPr>
          <w:rFonts w:ascii="Arial" w:hAnsi="Arial" w:cs="Arial"/>
          <w:sz w:val="22"/>
          <w:lang w:val="en-US"/>
        </w:rPr>
        <w:t>exus approach and assesses its potential across various Mediterranean scenarios. This work informs the design of </w:t>
      </w:r>
      <w:r w:rsidRPr="00981327">
        <w:rPr>
          <w:rFonts w:ascii="Arial" w:hAnsi="Arial" w:cs="Arial"/>
          <w:b/>
          <w:bCs/>
          <w:sz w:val="22"/>
          <w:lang w:val="en-US"/>
        </w:rPr>
        <w:t>Specific Socio-Ecological and Technical Systems (SETs)</w:t>
      </w:r>
      <w:r w:rsidRPr="00981327">
        <w:rPr>
          <w:rFonts w:ascii="Arial" w:hAnsi="Arial" w:cs="Arial"/>
          <w:sz w:val="22"/>
          <w:lang w:val="en-US"/>
        </w:rPr>
        <w:t xml:space="preserve"> for </w:t>
      </w:r>
      <w:r>
        <w:rPr>
          <w:rFonts w:ascii="Arial" w:hAnsi="Arial" w:cs="Arial"/>
          <w:sz w:val="22"/>
          <w:lang w:val="en-US"/>
        </w:rPr>
        <w:t>N</w:t>
      </w:r>
      <w:r w:rsidRPr="00981327">
        <w:rPr>
          <w:rFonts w:ascii="Arial" w:hAnsi="Arial" w:cs="Arial"/>
          <w:sz w:val="22"/>
          <w:lang w:val="en-US"/>
        </w:rPr>
        <w:t>exus implementation, which are shared with stakeholders through knowledge exchange and capacity-building activities to promote replication and scalability.</w:t>
      </w:r>
    </w:p>
    <w:p w14:paraId="0B39C532" w14:textId="77777777" w:rsidR="00703F6A" w:rsidRPr="00981327" w:rsidRDefault="00703F6A" w:rsidP="00703F6A">
      <w:pPr>
        <w:spacing w:before="120" w:line="276" w:lineRule="auto"/>
        <w:jc w:val="both"/>
        <w:rPr>
          <w:rFonts w:ascii="Arial" w:hAnsi="Arial" w:cs="Arial"/>
          <w:sz w:val="22"/>
          <w:lang w:val="en-US"/>
        </w:rPr>
      </w:pPr>
      <w:r w:rsidRPr="00981327">
        <w:rPr>
          <w:rFonts w:ascii="Arial" w:hAnsi="Arial" w:cs="Arial"/>
          <w:sz w:val="22"/>
          <w:lang w:val="en-US"/>
        </w:rPr>
        <w:t>The consortium involves 15 partners from seven Mediterranean countries and prioritizes stakeholder engagement across multiple sectors to foster collaboration and innovation. To support this, the project creates a </w:t>
      </w:r>
      <w:r w:rsidRPr="00981327">
        <w:rPr>
          <w:rFonts w:ascii="Arial" w:hAnsi="Arial" w:cs="Arial"/>
          <w:b/>
          <w:bCs/>
          <w:sz w:val="22"/>
          <w:lang w:val="en-US"/>
        </w:rPr>
        <w:t>Stakeholders Platform (SHP)</w:t>
      </w:r>
      <w:r w:rsidRPr="00981327">
        <w:rPr>
          <w:rFonts w:ascii="Arial" w:hAnsi="Arial" w:cs="Arial"/>
          <w:sz w:val="22"/>
          <w:lang w:val="en-US"/>
        </w:rPr>
        <w:t>, uniting public, private, and non-governmental organizations working across the four WEFE pillars. This platform facilitates cross-sectoral cooperation, knowledge sharing, and the dissemination of best practices throughout the Mediterranean.</w:t>
      </w:r>
    </w:p>
    <w:p w14:paraId="30DE21A6" w14:textId="77777777" w:rsidR="00703F6A" w:rsidRPr="00703F6A" w:rsidRDefault="00703F6A" w:rsidP="00703F6A">
      <w:pPr>
        <w:spacing w:before="120" w:line="276" w:lineRule="auto"/>
        <w:jc w:val="both"/>
        <w:rPr>
          <w:rFonts w:ascii="Arial" w:hAnsi="Arial" w:cs="Arial"/>
          <w:sz w:val="22"/>
          <w:lang w:val="en-US"/>
        </w:rPr>
      </w:pPr>
      <w:r w:rsidRPr="00703F6A">
        <w:rPr>
          <w:rFonts w:ascii="Arial" w:hAnsi="Arial" w:cs="Arial"/>
          <w:sz w:val="22"/>
          <w:lang w:val="en-US"/>
        </w:rPr>
        <w:t>The </w:t>
      </w:r>
      <w:r w:rsidRPr="00703F6A">
        <w:rPr>
          <w:rFonts w:ascii="Arial" w:hAnsi="Arial" w:cs="Arial"/>
          <w:b/>
          <w:bCs/>
          <w:sz w:val="22"/>
          <w:lang w:val="en-US"/>
        </w:rPr>
        <w:t>Stakeholders Platform (SHP)</w:t>
      </w:r>
      <w:r w:rsidRPr="00703F6A">
        <w:rPr>
          <w:rFonts w:ascii="Arial" w:hAnsi="Arial" w:cs="Arial"/>
          <w:sz w:val="22"/>
          <w:lang w:val="en-US"/>
        </w:rPr>
        <w:t> is designed to maximize the use and reuse of the project’s research results. It will define an action agenda, facilitate regular consultations for informed decision-making, and support the implementation of bold joint initiatives. Throughout the project lifecycle, the SHP will collect and validate data from diverse sources to guide research and achieve project objectives, ensuring updates and validation as needed.</w:t>
      </w:r>
    </w:p>
    <w:p w14:paraId="54EFEE3B" w14:textId="212C3209" w:rsidR="00703F6A" w:rsidRDefault="00703F6A" w:rsidP="00703F6A">
      <w:pPr>
        <w:spacing w:before="120" w:line="276" w:lineRule="auto"/>
        <w:jc w:val="both"/>
        <w:rPr>
          <w:rFonts w:ascii="Arial" w:hAnsi="Arial" w:cs="Arial"/>
          <w:sz w:val="22"/>
          <w:lang w:val="en-US"/>
        </w:rPr>
      </w:pPr>
      <w:r w:rsidRPr="00703F6A">
        <w:rPr>
          <w:rFonts w:ascii="Arial" w:hAnsi="Arial" w:cs="Arial"/>
          <w:sz w:val="22"/>
          <w:lang w:val="en-US"/>
        </w:rPr>
        <w:t>The SHP plays a pivotal role in gathering data from its members and their local partners, validating analytical outcomes, and establishing pathways for sharing results and impacts across the region. Members of the SHP will benefit from capacity-building opportunities, knowledge dissemination, networking, and collaborative initiatives aimed at fostering the Nexus approach within their communities.</w:t>
      </w:r>
    </w:p>
    <w:p w14:paraId="7CDFCBDF" w14:textId="77777777" w:rsidR="00EC6599" w:rsidRDefault="00EC6599" w:rsidP="00703F6A">
      <w:pPr>
        <w:spacing w:before="120" w:line="276" w:lineRule="auto"/>
        <w:jc w:val="both"/>
        <w:rPr>
          <w:rFonts w:ascii="Arial" w:hAnsi="Arial" w:cs="Arial"/>
          <w:sz w:val="22"/>
          <w:lang w:val="en-US"/>
        </w:rPr>
      </w:pPr>
    </w:p>
    <w:p w14:paraId="522FF870" w14:textId="77777777" w:rsidR="00981327" w:rsidRPr="00EC6599" w:rsidRDefault="00703F6A" w:rsidP="00062628">
      <w:pPr>
        <w:shd w:val="clear" w:color="auto" w:fill="D9E2F3" w:themeFill="accent1" w:themeFillTint="33"/>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 xml:space="preserve">As a key stakeholder in implementing the WEFE Nexus approach in your country and the Mediterranean region, your organization is invited to join the SHP. Membership is voluntary and includes a range of actions that your organization can define in advance. </w:t>
      </w:r>
    </w:p>
    <w:p w14:paraId="0BC36827" w14:textId="04E9E9AF" w:rsidR="00703F6A" w:rsidRPr="00EC6599" w:rsidRDefault="00703F6A" w:rsidP="00062628">
      <w:pPr>
        <w:shd w:val="clear" w:color="auto" w:fill="D9E2F3" w:themeFill="accent1" w:themeFillTint="33"/>
        <w:spacing w:before="120" w:line="276" w:lineRule="auto"/>
        <w:jc w:val="both"/>
        <w:rPr>
          <w:rFonts w:ascii="Arial" w:hAnsi="Arial" w:cs="Arial"/>
          <w:i/>
          <w:iCs/>
          <w:color w:val="2F5496" w:themeColor="accent1" w:themeShade="BF"/>
          <w:sz w:val="20"/>
          <w:szCs w:val="20"/>
          <w:lang w:val="en-US"/>
        </w:rPr>
      </w:pPr>
      <w:r w:rsidRPr="00EC6599">
        <w:rPr>
          <w:rFonts w:ascii="Arial" w:hAnsi="Arial" w:cs="Arial"/>
          <w:i/>
          <w:iCs/>
          <w:color w:val="2F5496" w:themeColor="accent1" w:themeShade="BF"/>
          <w:sz w:val="20"/>
          <w:szCs w:val="20"/>
          <w:lang w:val="en-US"/>
        </w:rPr>
        <w:t>This document outlines the roles, contributions, responsibilities, and benefits of stakeholders, as well as mechanisms for transferring knowledge and lessons learned during the project.</w:t>
      </w:r>
    </w:p>
    <w:p w14:paraId="627F5F7B" w14:textId="77777777" w:rsidR="00703F6A" w:rsidRDefault="00703F6A" w:rsidP="00062628">
      <w:pPr>
        <w:shd w:val="clear" w:color="auto" w:fill="D9E2F3" w:themeFill="accent1" w:themeFillTint="33"/>
        <w:spacing w:before="120" w:line="276" w:lineRule="auto"/>
        <w:jc w:val="both"/>
        <w:rPr>
          <w:rFonts w:ascii="Arial" w:hAnsi="Arial" w:cs="Arial"/>
          <w:i/>
          <w:iCs/>
          <w:color w:val="2F5496" w:themeColor="accent1" w:themeShade="BF"/>
          <w:sz w:val="22"/>
          <w:lang w:val="en-US"/>
        </w:rPr>
      </w:pPr>
      <w:r w:rsidRPr="00EC6599">
        <w:rPr>
          <w:rFonts w:ascii="Arial" w:hAnsi="Arial" w:cs="Arial"/>
          <w:i/>
          <w:iCs/>
          <w:color w:val="2F5496" w:themeColor="accent1" w:themeShade="BF"/>
          <w:sz w:val="20"/>
          <w:szCs w:val="20"/>
          <w:lang w:val="en-US"/>
        </w:rPr>
        <w:t>At the end of this document, you will find a voluntary membership application form. If interested, you can specify your organization’s commitments as a member of the SHP and provide key information about your organization.</w:t>
      </w:r>
    </w:p>
    <w:p w14:paraId="4A920A50" w14:textId="47198022" w:rsidR="005F2A2C" w:rsidRPr="000C5AEF" w:rsidRDefault="003324D5" w:rsidP="001736FB">
      <w:pPr>
        <w:pStyle w:val="Heading2"/>
        <w:numPr>
          <w:ilvl w:val="0"/>
          <w:numId w:val="16"/>
        </w:numPr>
        <w:ind w:left="426"/>
        <w:rPr>
          <w:rFonts w:ascii="Arial" w:hAnsi="Arial" w:cs="Arial"/>
          <w:b/>
          <w:bCs/>
          <w:lang w:val="en-US"/>
        </w:rPr>
      </w:pPr>
      <w:r w:rsidRPr="000C5AEF">
        <w:rPr>
          <w:rFonts w:ascii="Arial" w:hAnsi="Arial" w:cs="Arial"/>
          <w:b/>
          <w:bCs/>
          <w:lang w:val="en-US"/>
        </w:rPr>
        <w:lastRenderedPageBreak/>
        <w:t>SHP</w:t>
      </w:r>
      <w:r w:rsidR="005C16C9" w:rsidRPr="000C5AEF">
        <w:rPr>
          <w:rFonts w:ascii="Arial" w:hAnsi="Arial" w:cs="Arial"/>
          <w:b/>
          <w:bCs/>
          <w:lang w:val="en-US"/>
        </w:rPr>
        <w:t xml:space="preserve"> and its role in the project</w:t>
      </w:r>
      <w:r w:rsidR="00981327" w:rsidRPr="000C5AEF">
        <w:rPr>
          <w:rFonts w:ascii="Arial" w:hAnsi="Arial" w:cs="Arial"/>
          <w:b/>
          <w:bCs/>
          <w:lang w:val="en-US"/>
        </w:rPr>
        <w:t xml:space="preserve"> SureNexus</w:t>
      </w:r>
      <w:r w:rsidR="005C16C9" w:rsidRPr="000C5AEF">
        <w:rPr>
          <w:rFonts w:ascii="Arial" w:hAnsi="Arial" w:cs="Arial"/>
          <w:b/>
          <w:bCs/>
          <w:lang w:val="en-US"/>
        </w:rPr>
        <w:t xml:space="preserve"> </w:t>
      </w:r>
    </w:p>
    <w:p w14:paraId="5C32BA87" w14:textId="3E0555A6" w:rsidR="00981327" w:rsidRPr="00D66FF8" w:rsidRDefault="00981327" w:rsidP="00981327">
      <w:pPr>
        <w:spacing w:before="120" w:line="276" w:lineRule="auto"/>
        <w:jc w:val="both"/>
        <w:rPr>
          <w:rFonts w:ascii="Arial" w:hAnsi="Arial" w:cs="Arial"/>
          <w:sz w:val="22"/>
          <w:szCs w:val="22"/>
          <w:lang w:val="en-US"/>
        </w:rPr>
      </w:pPr>
      <w:r w:rsidRPr="00D66FF8">
        <w:rPr>
          <w:rFonts w:ascii="Arial" w:hAnsi="Arial" w:cs="Arial"/>
          <w:sz w:val="22"/>
          <w:szCs w:val="22"/>
          <w:lang w:val="en-US"/>
        </w:rPr>
        <w:t>Local networks are a cornerstone of the S</w:t>
      </w:r>
      <w:r>
        <w:rPr>
          <w:rFonts w:ascii="Arial" w:hAnsi="Arial" w:cs="Arial"/>
          <w:sz w:val="22"/>
          <w:szCs w:val="22"/>
          <w:lang w:val="en-US"/>
        </w:rPr>
        <w:t>ureNexus</w:t>
      </w:r>
      <w:r w:rsidRPr="00D66FF8">
        <w:rPr>
          <w:rFonts w:ascii="Arial" w:hAnsi="Arial" w:cs="Arial"/>
          <w:sz w:val="22"/>
          <w:szCs w:val="22"/>
          <w:lang w:val="en-US"/>
        </w:rPr>
        <w:t xml:space="preserve"> project, driving its successful implementation and fostering knowledge exchange across the Mediterranean region. These networks enable the seeding, collection, development, and dissemination of technological, economic, and research innovations aligned with the NEXUS approach.</w:t>
      </w:r>
    </w:p>
    <w:p w14:paraId="7B393BF8" w14:textId="77777777" w:rsidR="00D66FF8" w:rsidRPr="00D66FF8" w:rsidRDefault="00D66FF8" w:rsidP="00D66FF8">
      <w:pPr>
        <w:spacing w:before="120" w:line="276" w:lineRule="auto"/>
        <w:jc w:val="both"/>
        <w:rPr>
          <w:rFonts w:ascii="Arial" w:hAnsi="Arial" w:cs="Arial"/>
          <w:b/>
          <w:bCs/>
          <w:sz w:val="22"/>
          <w:szCs w:val="22"/>
          <w:lang w:val="en-US"/>
        </w:rPr>
      </w:pPr>
      <w:r w:rsidRPr="00D66FF8">
        <w:rPr>
          <w:rFonts w:ascii="Arial" w:hAnsi="Arial" w:cs="Arial"/>
          <w:sz w:val="22"/>
          <w:szCs w:val="22"/>
          <w:lang w:val="en-US"/>
        </w:rPr>
        <w:t xml:space="preserve">A core objective of the project is to communicate, disseminate, and leverage its results and outputs among stakeholders at all levels, maximizing regional and global impact through replication and adoption. </w:t>
      </w:r>
      <w:r w:rsidRPr="00D66FF8">
        <w:rPr>
          <w:rFonts w:ascii="Arial" w:hAnsi="Arial" w:cs="Arial"/>
          <w:b/>
          <w:bCs/>
          <w:sz w:val="22"/>
          <w:szCs w:val="22"/>
          <w:lang w:val="en-US"/>
        </w:rPr>
        <w:t>Four networks operate in the demo site countries as part of the integrated Stakeholders Platform (SHP), connecting stakeholders across all Consortium member countries.</w:t>
      </w:r>
    </w:p>
    <w:p w14:paraId="5DBE9360" w14:textId="77777777" w:rsidR="00D66FF8" w:rsidRPr="00D66FF8" w:rsidRDefault="00D66FF8" w:rsidP="00D66FF8">
      <w:pPr>
        <w:spacing w:before="120" w:line="276" w:lineRule="auto"/>
        <w:jc w:val="both"/>
        <w:rPr>
          <w:rFonts w:ascii="Arial" w:hAnsi="Arial" w:cs="Arial"/>
          <w:sz w:val="22"/>
          <w:szCs w:val="22"/>
          <w:lang w:val="en-US"/>
        </w:rPr>
      </w:pPr>
      <w:r w:rsidRPr="00D66FF8">
        <w:rPr>
          <w:rFonts w:ascii="Arial" w:hAnsi="Arial" w:cs="Arial"/>
          <w:sz w:val="22"/>
          <w:szCs w:val="22"/>
          <w:lang w:val="en-US"/>
        </w:rPr>
        <w:t>At the national level, intra-national networks address cultural, geographical, and institutional barriers to enhance stakeholder participation. These networks provide dynamic platforms for local partners to collaborate effectively, aligning on actionable solutions that scale to the regional level.</w:t>
      </w:r>
    </w:p>
    <w:p w14:paraId="1B44ED1F" w14:textId="55AB7364" w:rsidR="00D66FF8" w:rsidRDefault="00D66FF8" w:rsidP="00981327">
      <w:pPr>
        <w:spacing w:before="120" w:line="276" w:lineRule="auto"/>
        <w:jc w:val="both"/>
        <w:rPr>
          <w:rFonts w:ascii="Arial" w:hAnsi="Arial" w:cs="Arial"/>
          <w:sz w:val="22"/>
          <w:szCs w:val="22"/>
          <w:lang w:val="en-US"/>
        </w:rPr>
      </w:pPr>
      <w:r w:rsidRPr="00D66FF8">
        <w:rPr>
          <w:rFonts w:ascii="Arial" w:hAnsi="Arial" w:cs="Arial"/>
          <w:sz w:val="22"/>
          <w:szCs w:val="22"/>
          <w:lang w:val="en-US"/>
        </w:rPr>
        <w:t>The </w:t>
      </w:r>
      <w:r w:rsidRPr="00D66FF8">
        <w:rPr>
          <w:rFonts w:ascii="Arial" w:hAnsi="Arial" w:cs="Arial"/>
          <w:b/>
          <w:bCs/>
          <w:sz w:val="22"/>
          <w:szCs w:val="22"/>
          <w:lang w:val="en-US"/>
        </w:rPr>
        <w:t>SureNexus SHP operates on an interregional scale, bringing together stakeholders from multiple countries</w:t>
      </w:r>
      <w:r w:rsidRPr="00D66FF8">
        <w:rPr>
          <w:rFonts w:ascii="Arial" w:hAnsi="Arial" w:cs="Arial"/>
          <w:sz w:val="22"/>
          <w:szCs w:val="22"/>
          <w:lang w:val="en-US"/>
        </w:rPr>
        <w:t>. It serves as a regional hub for aligning solutions, facilitating the exchange of experiences, disseminating </w:t>
      </w:r>
      <w:r w:rsidRPr="00D66FF8">
        <w:rPr>
          <w:rFonts w:ascii="Arial" w:hAnsi="Arial" w:cs="Arial"/>
          <w:b/>
          <w:bCs/>
          <w:sz w:val="22"/>
          <w:szCs w:val="22"/>
          <w:lang w:val="en-US"/>
        </w:rPr>
        <w:t>WEFE Nexus</w:t>
      </w:r>
      <w:r w:rsidRPr="00D66FF8">
        <w:rPr>
          <w:rFonts w:ascii="Arial" w:hAnsi="Arial" w:cs="Arial"/>
          <w:sz w:val="22"/>
          <w:szCs w:val="22"/>
          <w:lang w:val="en-US"/>
        </w:rPr>
        <w:t> knowledge, bridging knowledge gaps between Mediterranean countries, and fostering innovation to address climate change and other cross-border challenges. Its success depends on active participation, a collaborative environment that encourages knowledge sharing, and consistent communication among local and regional partners</w:t>
      </w:r>
      <w:r>
        <w:rPr>
          <w:rFonts w:ascii="Arial" w:hAnsi="Arial" w:cs="Arial"/>
          <w:sz w:val="22"/>
          <w:szCs w:val="22"/>
          <w:lang w:val="en-US"/>
        </w:rPr>
        <w:t>.</w:t>
      </w:r>
      <w:r w:rsidR="00661B4E">
        <w:rPr>
          <w:rFonts w:ascii="Arial" w:hAnsi="Arial" w:cs="Arial"/>
          <w:sz w:val="22"/>
          <w:szCs w:val="22"/>
          <w:lang w:val="en-US"/>
        </w:rPr>
        <w:t xml:space="preserve"> </w:t>
      </w:r>
      <w:r w:rsidR="00661B4E" w:rsidRPr="00D66FF8">
        <w:rPr>
          <w:rFonts w:ascii="Arial" w:hAnsi="Arial" w:cs="Arial"/>
          <w:sz w:val="22"/>
          <w:szCs w:val="22"/>
          <w:lang w:val="en-US"/>
        </w:rPr>
        <w:t>By adhering to these principles, the networks will help advance the project’s goals and amplify its impact throughout the Mediterranean.</w:t>
      </w:r>
    </w:p>
    <w:p w14:paraId="1C4DE888" w14:textId="042432D9" w:rsidR="00D66FF8" w:rsidRDefault="00EC6599" w:rsidP="00981327">
      <w:pPr>
        <w:spacing w:before="120" w:line="276" w:lineRule="auto"/>
        <w:jc w:val="both"/>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0288" behindDoc="0" locked="0" layoutInCell="1" allowOverlap="1" wp14:anchorId="6E9041F5" wp14:editId="7ACF24AA">
                <wp:simplePos x="0" y="0"/>
                <wp:positionH relativeFrom="column">
                  <wp:posOffset>157012</wp:posOffset>
                </wp:positionH>
                <wp:positionV relativeFrom="paragraph">
                  <wp:posOffset>225664</wp:posOffset>
                </wp:positionV>
                <wp:extent cx="5454588" cy="1169233"/>
                <wp:effectExtent l="0" t="0" r="0" b="0"/>
                <wp:wrapNone/>
                <wp:docPr id="1339491758" name="Text Box 2"/>
                <wp:cNvGraphicFramePr/>
                <a:graphic xmlns:a="http://schemas.openxmlformats.org/drawingml/2006/main">
                  <a:graphicData uri="http://schemas.microsoft.com/office/word/2010/wordprocessingShape">
                    <wps:wsp>
                      <wps:cNvSpPr txBox="1"/>
                      <wps:spPr>
                        <a:xfrm>
                          <a:off x="0" y="0"/>
                          <a:ext cx="5454588" cy="1169233"/>
                        </a:xfrm>
                        <a:prstGeom prst="rect">
                          <a:avLst/>
                        </a:prstGeom>
                        <a:solidFill>
                          <a:schemeClr val="accent1">
                            <a:lumMod val="20000"/>
                            <a:lumOff val="80000"/>
                          </a:schemeClr>
                        </a:solidFill>
                        <a:ln w="6350">
                          <a:noFill/>
                        </a:ln>
                      </wps:spPr>
                      <wps:txbx>
                        <w:txbxContent>
                          <w:p w14:paraId="6A8E0919" w14:textId="77777777" w:rsidR="00EC6599" w:rsidRPr="00EC6599" w:rsidRDefault="00EC6599" w:rsidP="00EC6599">
                            <w:p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To this end, network members are expected to:</w:t>
                            </w:r>
                          </w:p>
                          <w:p w14:paraId="65FFE51D" w14:textId="77777777" w:rsidR="00EC6599" w:rsidRPr="00EC6599"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Foster trust and active collaboration within the network.</w:t>
                            </w:r>
                          </w:p>
                          <w:p w14:paraId="25056BFE" w14:textId="77777777" w:rsidR="00EC6599" w:rsidRPr="00EC6599"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Ensure consistent and open information exchange across the network.</w:t>
                            </w:r>
                          </w:p>
                          <w:p w14:paraId="5C0CBCAC" w14:textId="77777777" w:rsidR="00EC6599" w:rsidRPr="00EC6599" w:rsidRDefault="00EC6599" w:rsidP="00EC6599">
                            <w:pPr>
                              <w:numPr>
                                <w:ilvl w:val="0"/>
                                <w:numId w:val="20"/>
                              </w:numPr>
                              <w:spacing w:before="120" w:line="276" w:lineRule="auto"/>
                              <w:jc w:val="both"/>
                              <w:rPr>
                                <w:rFonts w:ascii="Arial" w:hAnsi="Arial" w:cs="Arial"/>
                                <w:b/>
                                <w:bCs/>
                                <w:color w:val="2F5496" w:themeColor="accent1" w:themeShade="BF"/>
                                <w:sz w:val="22"/>
                                <w:szCs w:val="22"/>
                                <w:lang w:val="en-US"/>
                              </w:rPr>
                            </w:pPr>
                            <w:r w:rsidRPr="00EC6599">
                              <w:rPr>
                                <w:rFonts w:ascii="Arial" w:hAnsi="Arial" w:cs="Arial"/>
                                <w:b/>
                                <w:bCs/>
                                <w:i/>
                                <w:iCs/>
                                <w:color w:val="2F5496" w:themeColor="accent1" w:themeShade="BF"/>
                                <w:sz w:val="20"/>
                                <w:szCs w:val="20"/>
                                <w:lang w:val="en-US"/>
                              </w:rPr>
                              <w:t>Promote co-learning processes among the various local networks.</w:t>
                            </w:r>
                          </w:p>
                          <w:p w14:paraId="18D4A8FD" w14:textId="77777777" w:rsidR="00EC6599" w:rsidRPr="00EC6599" w:rsidRDefault="00EC6599">
                            <w:pPr>
                              <w:rPr>
                                <w:b/>
                                <w:bCs/>
                                <w:color w:val="2F5496" w:themeColor="accent1" w:themeShade="B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041F5" id="_x0000_t202" coordsize="21600,21600" o:spt="202" path="m,l,21600r21600,l21600,xe">
                <v:stroke joinstyle="miter"/>
                <v:path gradientshapeok="t" o:connecttype="rect"/>
              </v:shapetype>
              <v:shape id="Text Box 2" o:spid="_x0000_s1026" type="#_x0000_t202" style="position:absolute;left:0;text-align:left;margin-left:12.35pt;margin-top:17.75pt;width:429.5pt;height:9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" fillcolor="#d9e2f3 [660]" stroked="f" strokeweight=".5pt">
                <v:textbox>
                  <w:txbxContent>
                    <w:p w14:paraId="6A8E0919" w14:textId="77777777" w:rsidR="00EC6599" w:rsidRPr="00EC6599" w:rsidRDefault="00EC6599" w:rsidP="00EC6599">
                      <w:p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To this end, network members are expected to:</w:t>
                      </w:r>
                    </w:p>
                    <w:p w14:paraId="65FFE51D" w14:textId="77777777" w:rsidR="00EC6599" w:rsidRPr="00EC6599"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Foster trust and active collaboration within the network.</w:t>
                      </w:r>
                    </w:p>
                    <w:p w14:paraId="25056BFE" w14:textId="77777777" w:rsidR="00EC6599" w:rsidRPr="00EC6599"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lang w:val="en-US"/>
                        </w:rPr>
                        <w:t>Ensure consistent and open information exchange across the network.</w:t>
                      </w:r>
                    </w:p>
                    <w:p w14:paraId="5C0CBCAC" w14:textId="77777777" w:rsidR="00EC6599" w:rsidRPr="00EC6599" w:rsidRDefault="00EC6599" w:rsidP="00EC6599">
                      <w:pPr>
                        <w:numPr>
                          <w:ilvl w:val="0"/>
                          <w:numId w:val="20"/>
                        </w:numPr>
                        <w:spacing w:before="120" w:line="276" w:lineRule="auto"/>
                        <w:jc w:val="both"/>
                        <w:rPr>
                          <w:rFonts w:ascii="Arial" w:hAnsi="Arial" w:cs="Arial"/>
                          <w:b/>
                          <w:bCs/>
                          <w:color w:val="2F5496" w:themeColor="accent1" w:themeShade="BF"/>
                          <w:sz w:val="22"/>
                          <w:szCs w:val="22"/>
                          <w:lang w:val="en-US"/>
                        </w:rPr>
                      </w:pPr>
                      <w:r w:rsidRPr="00EC6599">
                        <w:rPr>
                          <w:rFonts w:ascii="Arial" w:hAnsi="Arial" w:cs="Arial"/>
                          <w:b/>
                          <w:bCs/>
                          <w:i/>
                          <w:iCs/>
                          <w:color w:val="2F5496" w:themeColor="accent1" w:themeShade="BF"/>
                          <w:sz w:val="20"/>
                          <w:szCs w:val="20"/>
                          <w:lang w:val="en-US"/>
                        </w:rPr>
                        <w:t>Promote co-learning processes among the various local networks.</w:t>
                      </w:r>
                    </w:p>
                    <w:p w14:paraId="18D4A8FD" w14:textId="77777777" w:rsidR="00EC6599" w:rsidRPr="00EC6599" w:rsidRDefault="00EC6599">
                      <w:pPr>
                        <w:rPr>
                          <w:b/>
                          <w:bCs/>
                          <w:color w:val="2F5496" w:themeColor="accent1" w:themeShade="BF"/>
                          <w:lang w:val="en-US"/>
                        </w:rPr>
                      </w:pPr>
                    </w:p>
                  </w:txbxContent>
                </v:textbox>
              </v:shape>
            </w:pict>
          </mc:Fallback>
        </mc:AlternateContent>
      </w:r>
    </w:p>
    <w:p w14:paraId="146AF585" w14:textId="05B4CCDF" w:rsidR="00062628" w:rsidRDefault="00062628" w:rsidP="00981327">
      <w:pPr>
        <w:spacing w:before="120" w:line="276" w:lineRule="auto"/>
        <w:jc w:val="both"/>
        <w:rPr>
          <w:rFonts w:ascii="Arial" w:hAnsi="Arial" w:cs="Arial"/>
          <w:sz w:val="22"/>
          <w:szCs w:val="22"/>
          <w:lang w:val="en-US"/>
        </w:rPr>
      </w:pPr>
    </w:p>
    <w:p w14:paraId="0F5A8E52" w14:textId="5C37AFA3" w:rsidR="00062628" w:rsidRDefault="00062628" w:rsidP="00981327">
      <w:pPr>
        <w:spacing w:before="120" w:line="276" w:lineRule="auto"/>
        <w:jc w:val="both"/>
        <w:rPr>
          <w:rFonts w:ascii="Arial" w:hAnsi="Arial" w:cs="Arial"/>
          <w:sz w:val="22"/>
          <w:szCs w:val="22"/>
          <w:lang w:val="en-US"/>
        </w:rPr>
      </w:pPr>
    </w:p>
    <w:p w14:paraId="194B30C5" w14:textId="6605DBA0" w:rsidR="00A0139E" w:rsidRDefault="00A0139E" w:rsidP="00981327">
      <w:pPr>
        <w:spacing w:before="120" w:line="276" w:lineRule="auto"/>
        <w:jc w:val="both"/>
        <w:rPr>
          <w:rFonts w:ascii="Arial" w:hAnsi="Arial" w:cs="Arial"/>
          <w:sz w:val="22"/>
          <w:szCs w:val="22"/>
          <w:lang w:val="en-US"/>
        </w:rPr>
      </w:pPr>
    </w:p>
    <w:p w14:paraId="6E760418" w14:textId="268DA0EF" w:rsidR="00A0139E" w:rsidRDefault="00A0139E" w:rsidP="00981327">
      <w:pPr>
        <w:spacing w:before="120" w:line="276" w:lineRule="auto"/>
        <w:jc w:val="both"/>
        <w:rPr>
          <w:rFonts w:ascii="Arial" w:hAnsi="Arial" w:cs="Arial"/>
          <w:sz w:val="22"/>
          <w:szCs w:val="22"/>
          <w:lang w:val="en-US"/>
        </w:rPr>
      </w:pPr>
    </w:p>
    <w:p w14:paraId="13E7F4A2" w14:textId="77777777" w:rsidR="00062628" w:rsidRDefault="00062628" w:rsidP="00981327">
      <w:pPr>
        <w:spacing w:before="120" w:line="276" w:lineRule="auto"/>
        <w:jc w:val="both"/>
        <w:rPr>
          <w:rFonts w:ascii="Arial" w:hAnsi="Arial" w:cs="Arial"/>
          <w:sz w:val="22"/>
          <w:szCs w:val="22"/>
          <w:lang w:val="en-US"/>
        </w:rPr>
      </w:pPr>
    </w:p>
    <w:p w14:paraId="49D99FA2" w14:textId="1C985E2A" w:rsidR="00981327" w:rsidRDefault="00981327" w:rsidP="00981327">
      <w:pPr>
        <w:spacing w:before="120" w:line="276" w:lineRule="auto"/>
        <w:jc w:val="both"/>
        <w:rPr>
          <w:rFonts w:ascii="Arial" w:hAnsi="Arial" w:cs="Arial"/>
          <w:sz w:val="22"/>
          <w:szCs w:val="22"/>
          <w:lang w:val="en-US"/>
        </w:rPr>
      </w:pPr>
    </w:p>
    <w:p w14:paraId="0769FBD1" w14:textId="77777777" w:rsidR="00661B4E" w:rsidRDefault="00661B4E" w:rsidP="00981327">
      <w:pPr>
        <w:spacing w:before="120" w:line="276" w:lineRule="auto"/>
        <w:jc w:val="both"/>
        <w:rPr>
          <w:rFonts w:ascii="Arial" w:hAnsi="Arial" w:cs="Arial"/>
          <w:sz w:val="22"/>
          <w:szCs w:val="22"/>
          <w:lang w:val="en-US"/>
        </w:rPr>
      </w:pPr>
    </w:p>
    <w:p w14:paraId="7AF01CE7" w14:textId="77777777" w:rsidR="00661B4E" w:rsidRDefault="00661B4E" w:rsidP="00981327">
      <w:pPr>
        <w:spacing w:before="120" w:line="276" w:lineRule="auto"/>
        <w:jc w:val="both"/>
        <w:rPr>
          <w:rFonts w:ascii="Arial" w:hAnsi="Arial" w:cs="Arial"/>
          <w:sz w:val="22"/>
          <w:szCs w:val="22"/>
          <w:lang w:val="en-US"/>
        </w:rPr>
      </w:pPr>
    </w:p>
    <w:p w14:paraId="3B7F9EF5" w14:textId="77777777" w:rsidR="00661B4E" w:rsidRDefault="00661B4E" w:rsidP="00981327">
      <w:pPr>
        <w:spacing w:before="120" w:line="276" w:lineRule="auto"/>
        <w:jc w:val="both"/>
        <w:rPr>
          <w:rFonts w:ascii="Arial" w:hAnsi="Arial" w:cs="Arial"/>
          <w:sz w:val="22"/>
          <w:szCs w:val="22"/>
          <w:lang w:val="en-US"/>
        </w:rPr>
      </w:pPr>
    </w:p>
    <w:p w14:paraId="290B66C5" w14:textId="77777777" w:rsidR="00661B4E" w:rsidRDefault="00661B4E" w:rsidP="00981327">
      <w:pPr>
        <w:spacing w:before="120" w:line="276" w:lineRule="auto"/>
        <w:jc w:val="both"/>
        <w:rPr>
          <w:rFonts w:ascii="Arial" w:hAnsi="Arial" w:cs="Arial"/>
          <w:sz w:val="22"/>
          <w:szCs w:val="22"/>
          <w:lang w:val="en-US"/>
        </w:rPr>
      </w:pPr>
    </w:p>
    <w:p w14:paraId="0115A961" w14:textId="77777777" w:rsidR="00661B4E" w:rsidRDefault="00661B4E" w:rsidP="00981327">
      <w:pPr>
        <w:spacing w:before="120" w:line="276" w:lineRule="auto"/>
        <w:jc w:val="both"/>
        <w:rPr>
          <w:rFonts w:ascii="Arial" w:hAnsi="Arial" w:cs="Arial"/>
          <w:sz w:val="22"/>
          <w:szCs w:val="22"/>
          <w:lang w:val="en-US"/>
        </w:rPr>
      </w:pPr>
    </w:p>
    <w:p w14:paraId="21ADA627" w14:textId="29E13372" w:rsidR="00981327" w:rsidRDefault="00981327" w:rsidP="00981327">
      <w:pPr>
        <w:spacing w:before="120" w:line="276" w:lineRule="auto"/>
        <w:jc w:val="both"/>
        <w:rPr>
          <w:rFonts w:ascii="Arial" w:hAnsi="Arial" w:cs="Arial"/>
          <w:sz w:val="22"/>
          <w:szCs w:val="22"/>
          <w:lang w:val="en-US"/>
        </w:rPr>
      </w:pPr>
    </w:p>
    <w:p w14:paraId="00D7BF3B" w14:textId="77777777" w:rsidR="00A0139E" w:rsidRDefault="00A0139E" w:rsidP="00981327">
      <w:pPr>
        <w:spacing w:before="120" w:line="276" w:lineRule="auto"/>
        <w:jc w:val="both"/>
        <w:rPr>
          <w:rFonts w:ascii="Arial" w:hAnsi="Arial" w:cs="Arial"/>
          <w:sz w:val="22"/>
          <w:szCs w:val="22"/>
          <w:lang w:val="en-US"/>
        </w:rPr>
      </w:pPr>
    </w:p>
    <w:p w14:paraId="28A6FBBC" w14:textId="77777777" w:rsidR="00D66FF8" w:rsidRPr="00D66FF8" w:rsidRDefault="00D66FF8" w:rsidP="00981327">
      <w:pPr>
        <w:spacing w:before="120" w:line="276" w:lineRule="auto"/>
        <w:jc w:val="both"/>
        <w:rPr>
          <w:rFonts w:ascii="Arial" w:hAnsi="Arial" w:cs="Arial"/>
          <w:sz w:val="22"/>
          <w:szCs w:val="22"/>
          <w:lang w:val="en-US"/>
        </w:rPr>
      </w:pPr>
    </w:p>
    <w:p w14:paraId="686A0CD0" w14:textId="77777777" w:rsidR="008C6149" w:rsidRDefault="008C6149" w:rsidP="000C5AEF">
      <w:pPr>
        <w:pStyle w:val="Heading2"/>
        <w:numPr>
          <w:ilvl w:val="0"/>
          <w:numId w:val="16"/>
        </w:numPr>
        <w:ind w:left="426"/>
        <w:rPr>
          <w:rFonts w:ascii="Arial" w:hAnsi="Arial" w:cs="Arial"/>
          <w:b/>
          <w:bCs/>
          <w:lang w:val="en-US"/>
        </w:rPr>
      </w:pPr>
      <w:r w:rsidRPr="000C5AEF">
        <w:rPr>
          <w:rFonts w:ascii="Arial" w:hAnsi="Arial" w:cs="Arial"/>
          <w:b/>
          <w:bCs/>
          <w:lang w:val="en-US"/>
        </w:rPr>
        <w:lastRenderedPageBreak/>
        <w:t xml:space="preserve">Involved </w:t>
      </w:r>
      <w:r w:rsidR="00AB4F56" w:rsidRPr="000C5AEF">
        <w:rPr>
          <w:rFonts w:ascii="Arial" w:hAnsi="Arial" w:cs="Arial"/>
          <w:b/>
          <w:bCs/>
          <w:lang w:val="en-US"/>
        </w:rPr>
        <w:t>stakeholders</w:t>
      </w:r>
    </w:p>
    <w:p w14:paraId="4057946F" w14:textId="77777777" w:rsidR="00E322CE" w:rsidRDefault="00E322CE" w:rsidP="00E322CE">
      <w:pPr>
        <w:rPr>
          <w:lang w:val="en-US"/>
        </w:rPr>
      </w:pPr>
    </w:p>
    <w:p w14:paraId="300319EB" w14:textId="77777777" w:rsidR="00E322CE" w:rsidRDefault="00E322CE" w:rsidP="00E322CE">
      <w:pPr>
        <w:spacing w:before="120" w:line="276" w:lineRule="auto"/>
        <w:jc w:val="both"/>
        <w:rPr>
          <w:rFonts w:ascii="Arial" w:hAnsi="Arial" w:cs="Arial"/>
          <w:sz w:val="22"/>
          <w:szCs w:val="22"/>
          <w:lang w:val="en-US"/>
        </w:rPr>
      </w:pPr>
      <w:r w:rsidRPr="000C5AEF">
        <w:rPr>
          <w:rFonts w:ascii="Arial" w:hAnsi="Arial" w:cs="Arial"/>
          <w:sz w:val="22"/>
          <w:szCs w:val="22"/>
          <w:lang w:val="en-US"/>
        </w:rPr>
        <w:t xml:space="preserve">An essential element for effective knowledge sharing is the identification of stakeholders who will be part of the network. In the context of the NEXUS approach, the nature, determinants, and interests of the organizations involved in collaborative networks are highly diverse. </w:t>
      </w:r>
    </w:p>
    <w:p w14:paraId="02060971" w14:textId="77777777" w:rsidR="00E322CE" w:rsidRPr="000C5AEF" w:rsidRDefault="00E322CE" w:rsidP="00E322CE">
      <w:pPr>
        <w:spacing w:before="120" w:line="276" w:lineRule="auto"/>
        <w:jc w:val="both"/>
        <w:rPr>
          <w:rFonts w:ascii="Arial" w:hAnsi="Arial" w:cs="Arial"/>
          <w:sz w:val="22"/>
          <w:szCs w:val="22"/>
          <w:lang w:val="en-US"/>
        </w:rPr>
      </w:pPr>
      <w:r w:rsidRPr="000C5AEF">
        <w:rPr>
          <w:rFonts w:ascii="Arial" w:hAnsi="Arial" w:cs="Arial"/>
          <w:sz w:val="22"/>
          <w:szCs w:val="22"/>
          <w:lang w:val="en-US"/>
        </w:rPr>
        <w:t>To establish the SHP within the project, an initial stakeholder mapping was conducted, taking these factors into account. Organizations with local, national, and regional reach, working across the four NEXUS pillars, were identified, particularly those with experience in jointly implementing these pillars, whether under the NEXUS approach or not. However, actors with no prior experience were not excluded, as they are seen as important potential users of the project’s results.</w:t>
      </w:r>
    </w:p>
    <w:p w14:paraId="3CA4E8F3" w14:textId="77777777" w:rsidR="00E322CE" w:rsidRDefault="00E322CE" w:rsidP="00E322CE">
      <w:pPr>
        <w:spacing w:before="120" w:line="276" w:lineRule="auto"/>
        <w:jc w:val="both"/>
        <w:rPr>
          <w:rFonts w:ascii="Arial" w:hAnsi="Arial" w:cs="Arial"/>
          <w:sz w:val="22"/>
          <w:szCs w:val="22"/>
          <w:lang w:val="en-US"/>
        </w:rPr>
      </w:pPr>
      <w:r w:rsidRPr="000C5AEF">
        <w:rPr>
          <w:rFonts w:ascii="Arial" w:hAnsi="Arial" w:cs="Arial"/>
          <w:sz w:val="22"/>
          <w:szCs w:val="22"/>
          <w:lang w:val="en-US"/>
        </w:rPr>
        <w:t>These actors can be categorized as public, private, non-governmental, or social organizations. Given the broad scope of these categories and the varied nature of the organizations identified, it is important to note that they are not mutually exclusive; for example, some organizations may have a mixed nature, such as public-private partnerships. The specific types of organizations within each category are outlined below.</w:t>
      </w:r>
    </w:p>
    <w:p w14:paraId="1D899543" w14:textId="77777777" w:rsidR="00E322CE" w:rsidRDefault="00E322CE" w:rsidP="00E322CE">
      <w:pPr>
        <w:spacing w:before="120" w:line="276" w:lineRule="auto"/>
        <w:jc w:val="both"/>
        <w:rPr>
          <w:rFonts w:ascii="Arial" w:hAnsi="Arial" w:cs="Arial"/>
          <w:sz w:val="22"/>
          <w:szCs w:val="22"/>
          <w:lang w:val="en-US"/>
        </w:rPr>
      </w:pPr>
    </w:p>
    <w:tbl>
      <w:tblPr>
        <w:tblStyle w:val="TableGrid"/>
        <w:tblW w:w="9067" w:type="dxa"/>
        <w:tblLook w:val="04A0" w:firstRow="1" w:lastRow="0" w:firstColumn="1" w:lastColumn="0" w:noHBand="0" w:noVBand="1"/>
      </w:tblPr>
      <w:tblGrid>
        <w:gridCol w:w="3964"/>
        <w:gridCol w:w="5103"/>
      </w:tblGrid>
      <w:tr w:rsidR="00E322CE" w14:paraId="14DD9D5C" w14:textId="77777777" w:rsidTr="00B21981">
        <w:tc>
          <w:tcPr>
            <w:tcW w:w="3964" w:type="dxa"/>
            <w:vMerge w:val="restart"/>
            <w:shd w:val="clear" w:color="auto" w:fill="D9D9D9" w:themeFill="background1" w:themeFillShade="D9"/>
          </w:tcPr>
          <w:p w14:paraId="422FF3CC"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Public Organizations</w:t>
            </w:r>
          </w:p>
        </w:tc>
        <w:tc>
          <w:tcPr>
            <w:tcW w:w="5103" w:type="dxa"/>
          </w:tcPr>
          <w:p w14:paraId="44A8A563"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Local Government</w:t>
            </w:r>
          </w:p>
        </w:tc>
      </w:tr>
      <w:tr w:rsidR="00E322CE" w14:paraId="7E35E64B" w14:textId="77777777" w:rsidTr="00B21981">
        <w:tc>
          <w:tcPr>
            <w:tcW w:w="3964" w:type="dxa"/>
            <w:vMerge/>
            <w:shd w:val="clear" w:color="auto" w:fill="D9D9D9" w:themeFill="background1" w:themeFillShade="D9"/>
          </w:tcPr>
          <w:p w14:paraId="14EA9676" w14:textId="77777777" w:rsidR="00E322CE" w:rsidRPr="00B21981" w:rsidRDefault="00E322CE" w:rsidP="00B21981">
            <w:pPr>
              <w:spacing w:before="120" w:line="276" w:lineRule="auto"/>
              <w:jc w:val="both"/>
              <w:rPr>
                <w:rFonts w:ascii="Arial" w:hAnsi="Arial" w:cs="Arial"/>
                <w:b/>
                <w:bCs/>
                <w:sz w:val="22"/>
                <w:szCs w:val="22"/>
                <w:lang w:val="en-US"/>
              </w:rPr>
            </w:pPr>
          </w:p>
        </w:tc>
        <w:tc>
          <w:tcPr>
            <w:tcW w:w="5103" w:type="dxa"/>
          </w:tcPr>
          <w:p w14:paraId="069ADDA6"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National-Subnational Government</w:t>
            </w:r>
          </w:p>
        </w:tc>
      </w:tr>
      <w:tr w:rsidR="00E322CE" w14:paraId="5D6D7534" w14:textId="77777777" w:rsidTr="00B21981">
        <w:tc>
          <w:tcPr>
            <w:tcW w:w="3964" w:type="dxa"/>
            <w:shd w:val="clear" w:color="auto" w:fill="D9D9D9" w:themeFill="background1" w:themeFillShade="D9"/>
          </w:tcPr>
          <w:p w14:paraId="74D0C5E7"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Reaserch Organizations</w:t>
            </w:r>
          </w:p>
        </w:tc>
        <w:tc>
          <w:tcPr>
            <w:tcW w:w="5103" w:type="dxa"/>
          </w:tcPr>
          <w:p w14:paraId="08451619"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Reaserch centres &amp; Universities</w:t>
            </w:r>
          </w:p>
        </w:tc>
      </w:tr>
      <w:tr w:rsidR="00E322CE" w14:paraId="6F9892F6" w14:textId="77777777" w:rsidTr="00B21981">
        <w:tc>
          <w:tcPr>
            <w:tcW w:w="3964" w:type="dxa"/>
            <w:vMerge w:val="restart"/>
            <w:shd w:val="clear" w:color="auto" w:fill="D9D9D9" w:themeFill="background1" w:themeFillShade="D9"/>
          </w:tcPr>
          <w:p w14:paraId="4B36279A"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Private Organizations</w:t>
            </w:r>
          </w:p>
        </w:tc>
        <w:tc>
          <w:tcPr>
            <w:tcW w:w="5103" w:type="dxa"/>
          </w:tcPr>
          <w:p w14:paraId="779A255F"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Agri-food Companies</w:t>
            </w:r>
          </w:p>
        </w:tc>
      </w:tr>
      <w:tr w:rsidR="00E322CE" w14:paraId="744B9FA8" w14:textId="77777777" w:rsidTr="00B21981">
        <w:tc>
          <w:tcPr>
            <w:tcW w:w="3964" w:type="dxa"/>
            <w:vMerge/>
            <w:shd w:val="clear" w:color="auto" w:fill="D9D9D9" w:themeFill="background1" w:themeFillShade="D9"/>
          </w:tcPr>
          <w:p w14:paraId="4B4AE552" w14:textId="77777777" w:rsidR="00E322CE" w:rsidRPr="00B21981" w:rsidRDefault="00E322CE" w:rsidP="00B21981">
            <w:pPr>
              <w:spacing w:before="120" w:line="276" w:lineRule="auto"/>
              <w:jc w:val="both"/>
              <w:rPr>
                <w:rFonts w:ascii="Arial" w:hAnsi="Arial" w:cs="Arial"/>
                <w:b/>
                <w:bCs/>
                <w:sz w:val="22"/>
                <w:szCs w:val="22"/>
                <w:lang w:val="en-US"/>
              </w:rPr>
            </w:pPr>
          </w:p>
        </w:tc>
        <w:tc>
          <w:tcPr>
            <w:tcW w:w="5103" w:type="dxa"/>
          </w:tcPr>
          <w:p w14:paraId="134C61AB"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Local Producers</w:t>
            </w:r>
          </w:p>
        </w:tc>
      </w:tr>
      <w:tr w:rsidR="00E322CE" w14:paraId="15A76F38" w14:textId="77777777" w:rsidTr="00B21981">
        <w:tc>
          <w:tcPr>
            <w:tcW w:w="3964" w:type="dxa"/>
            <w:vMerge/>
            <w:shd w:val="clear" w:color="auto" w:fill="D9D9D9" w:themeFill="background1" w:themeFillShade="D9"/>
          </w:tcPr>
          <w:p w14:paraId="1438D543" w14:textId="77777777" w:rsidR="00E322CE" w:rsidRPr="00B21981" w:rsidRDefault="00E322CE" w:rsidP="00B21981">
            <w:pPr>
              <w:spacing w:before="120" w:line="276" w:lineRule="auto"/>
              <w:jc w:val="both"/>
              <w:rPr>
                <w:rFonts w:ascii="Arial" w:hAnsi="Arial" w:cs="Arial"/>
                <w:b/>
                <w:bCs/>
                <w:sz w:val="22"/>
                <w:szCs w:val="22"/>
                <w:lang w:val="en-US"/>
              </w:rPr>
            </w:pPr>
          </w:p>
        </w:tc>
        <w:tc>
          <w:tcPr>
            <w:tcW w:w="5103" w:type="dxa"/>
          </w:tcPr>
          <w:p w14:paraId="635A2E19"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Water/Energy Utilities</w:t>
            </w:r>
          </w:p>
        </w:tc>
      </w:tr>
      <w:tr w:rsidR="00E322CE" w14:paraId="22192D9B" w14:textId="77777777" w:rsidTr="00B21981">
        <w:tc>
          <w:tcPr>
            <w:tcW w:w="3964" w:type="dxa"/>
            <w:shd w:val="clear" w:color="auto" w:fill="D9D9D9" w:themeFill="background1" w:themeFillShade="D9"/>
          </w:tcPr>
          <w:p w14:paraId="53626DAA"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Non-governmental Organizations</w:t>
            </w:r>
          </w:p>
        </w:tc>
        <w:tc>
          <w:tcPr>
            <w:tcW w:w="5103" w:type="dxa"/>
          </w:tcPr>
          <w:p w14:paraId="0216070D"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lang w:val="en-US"/>
              </w:rPr>
              <w:t>Customer Associations /NGOs</w:t>
            </w:r>
          </w:p>
        </w:tc>
      </w:tr>
    </w:tbl>
    <w:p w14:paraId="3AF74969" w14:textId="77777777" w:rsidR="00E322CE" w:rsidRDefault="00E322CE" w:rsidP="00E322CE">
      <w:pPr>
        <w:spacing w:before="120" w:line="276" w:lineRule="auto"/>
        <w:jc w:val="both"/>
        <w:rPr>
          <w:rFonts w:ascii="Arial" w:hAnsi="Arial" w:cs="Arial"/>
          <w:sz w:val="22"/>
          <w:szCs w:val="22"/>
          <w:lang w:val="en-US"/>
        </w:rPr>
      </w:pPr>
    </w:p>
    <w:p w14:paraId="3BC8112B" w14:textId="77777777" w:rsidR="00E322CE" w:rsidRDefault="00E322CE" w:rsidP="00E322CE">
      <w:pPr>
        <w:spacing w:before="120" w:line="276" w:lineRule="auto"/>
        <w:jc w:val="both"/>
        <w:rPr>
          <w:rFonts w:ascii="Arial" w:hAnsi="Arial" w:cs="Arial"/>
          <w:sz w:val="22"/>
          <w:szCs w:val="22"/>
          <w:lang w:val="en-US"/>
        </w:rPr>
      </w:pPr>
    </w:p>
    <w:p w14:paraId="55887394" w14:textId="77777777" w:rsidR="00E322CE" w:rsidRDefault="00E322CE" w:rsidP="00E322CE">
      <w:pPr>
        <w:rPr>
          <w:lang w:val="en-US"/>
        </w:rPr>
      </w:pPr>
    </w:p>
    <w:p w14:paraId="370FB113" w14:textId="77777777" w:rsidR="00661B4E" w:rsidRPr="00661B4E" w:rsidRDefault="00661B4E" w:rsidP="00661B4E">
      <w:pPr>
        <w:spacing w:before="120" w:line="276" w:lineRule="auto"/>
        <w:jc w:val="both"/>
        <w:rPr>
          <w:rFonts w:ascii="Arial" w:hAnsi="Arial" w:cs="Arial"/>
          <w:sz w:val="22"/>
          <w:szCs w:val="22"/>
          <w:lang w:val="en-US"/>
        </w:rPr>
      </w:pPr>
      <w:r w:rsidRPr="00661B4E">
        <w:rPr>
          <w:rFonts w:ascii="Arial" w:hAnsi="Arial" w:cs="Arial"/>
          <w:sz w:val="22"/>
          <w:szCs w:val="22"/>
          <w:lang w:val="en-US"/>
        </w:rPr>
        <w:t xml:space="preserve">The </w:t>
      </w:r>
      <w:r w:rsidRPr="00661B4E">
        <w:rPr>
          <w:rFonts w:ascii="Arial" w:hAnsi="Arial" w:cs="Arial"/>
          <w:b/>
          <w:bCs/>
          <w:sz w:val="22"/>
          <w:szCs w:val="22"/>
          <w:lang w:val="en-US"/>
        </w:rPr>
        <w:t>project began in April 2022 and is scheduled to run until September 2025</w:t>
      </w:r>
      <w:r>
        <w:rPr>
          <w:rFonts w:ascii="Arial" w:hAnsi="Arial" w:cs="Arial"/>
          <w:sz w:val="22"/>
          <w:szCs w:val="22"/>
          <w:lang w:val="en-US"/>
        </w:rPr>
        <w:t xml:space="preserve">. </w:t>
      </w:r>
      <w:r w:rsidRPr="00661B4E">
        <w:rPr>
          <w:rFonts w:ascii="Arial" w:hAnsi="Arial" w:cs="Arial"/>
          <w:sz w:val="22"/>
          <w:szCs w:val="22"/>
          <w:lang w:val="en-US"/>
        </w:rPr>
        <w:t>SHP members are expected to participate throughout the project's lifecycle, with intensive collaboration during key phases such as data collection, validation, and dissemination. Members will be informed in advance of these periods, along with important dates for knowledge-sharing activities, including annual meetings, seminars, and conferences.</w:t>
      </w:r>
    </w:p>
    <w:p w14:paraId="700900A4" w14:textId="77777777" w:rsidR="00661B4E" w:rsidRPr="00661B4E" w:rsidRDefault="00661B4E" w:rsidP="00661B4E">
      <w:pPr>
        <w:spacing w:before="120" w:line="276" w:lineRule="auto"/>
        <w:jc w:val="both"/>
        <w:rPr>
          <w:rFonts w:ascii="Arial" w:hAnsi="Arial" w:cs="Arial"/>
          <w:sz w:val="22"/>
          <w:szCs w:val="22"/>
          <w:lang w:val="en-US"/>
        </w:rPr>
      </w:pPr>
      <w:r w:rsidRPr="00661B4E">
        <w:rPr>
          <w:rFonts w:ascii="Arial" w:hAnsi="Arial" w:cs="Arial"/>
          <w:sz w:val="22"/>
          <w:szCs w:val="22"/>
          <w:lang w:val="en-US"/>
        </w:rPr>
        <w:t>While participation in all activities is not mandatory, members can define their level of commitment in advance. However, active involvement throughout the project is strongly recommended to ensure effective collaboration and exchange within the platform.</w:t>
      </w:r>
    </w:p>
    <w:p w14:paraId="29B3D53B" w14:textId="77777777" w:rsidR="00E322CE" w:rsidRDefault="00E322CE" w:rsidP="00E322CE">
      <w:pPr>
        <w:rPr>
          <w:lang w:val="en-US"/>
        </w:rPr>
      </w:pPr>
    </w:p>
    <w:p w14:paraId="5FF05456" w14:textId="77777777" w:rsidR="00E322CE" w:rsidRDefault="00E322CE" w:rsidP="00E322CE">
      <w:pPr>
        <w:rPr>
          <w:lang w:val="en-US"/>
        </w:rPr>
      </w:pPr>
    </w:p>
    <w:p w14:paraId="33AC0E9D" w14:textId="77777777" w:rsidR="00E322CE" w:rsidRDefault="00E322CE" w:rsidP="00E322CE">
      <w:pPr>
        <w:rPr>
          <w:lang w:val="en-US"/>
        </w:rPr>
      </w:pPr>
    </w:p>
    <w:p w14:paraId="63D3B1EE" w14:textId="77777777" w:rsidR="00E322CE" w:rsidRDefault="00E322CE" w:rsidP="00E322CE">
      <w:pPr>
        <w:rPr>
          <w:lang w:val="en-US"/>
        </w:rPr>
      </w:pPr>
    </w:p>
    <w:p w14:paraId="0F6132AE" w14:textId="1480917C" w:rsidR="00E322CE" w:rsidRDefault="00E322CE" w:rsidP="00E322CE">
      <w:pPr>
        <w:pStyle w:val="Heading2"/>
        <w:numPr>
          <w:ilvl w:val="0"/>
          <w:numId w:val="16"/>
        </w:numPr>
        <w:ind w:left="426"/>
        <w:rPr>
          <w:rFonts w:ascii="Arial" w:hAnsi="Arial" w:cs="Arial"/>
          <w:b/>
          <w:bCs/>
          <w:lang w:val="en-US"/>
        </w:rPr>
      </w:pPr>
      <w:r>
        <w:rPr>
          <w:rFonts w:ascii="Arial" w:hAnsi="Arial" w:cs="Arial"/>
          <w:b/>
          <w:bCs/>
          <w:lang w:val="en-US"/>
        </w:rPr>
        <w:lastRenderedPageBreak/>
        <w:t xml:space="preserve">Fostering Networking and Clustering </w:t>
      </w:r>
    </w:p>
    <w:p w14:paraId="725B1513" w14:textId="6CF62B16" w:rsidR="00D531C2" w:rsidRPr="00D531C2" w:rsidRDefault="00D726C2" w:rsidP="00D531C2">
      <w:pPr>
        <w:pStyle w:val="Heading2"/>
        <w:spacing w:before="120" w:line="276" w:lineRule="auto"/>
        <w:jc w:val="both"/>
        <w:rPr>
          <w:rFonts w:ascii="Arial" w:hAnsi="Arial" w:cs="Arial"/>
          <w:color w:val="000000" w:themeColor="text1"/>
          <w:sz w:val="22"/>
          <w:szCs w:val="22"/>
          <w:lang w:val="en-US"/>
        </w:rPr>
      </w:pPr>
      <w:r w:rsidRPr="00B21981">
        <w:rPr>
          <w:rFonts w:ascii="Arial" w:hAnsi="Arial" w:cs="Arial"/>
          <w:b/>
          <w:bCs/>
          <w:color w:val="000000" w:themeColor="text1"/>
          <w:sz w:val="22"/>
          <w:szCs w:val="22"/>
        </w:rPr>
        <w:t>SureNexus</w:t>
      </w:r>
      <w:r w:rsidRPr="00B21981">
        <w:rPr>
          <w:rFonts w:ascii="Arial" w:hAnsi="Arial" w:cs="Arial"/>
          <w:color w:val="000000" w:themeColor="text1"/>
          <w:sz w:val="22"/>
          <w:szCs w:val="22"/>
        </w:rPr>
        <w:t xml:space="preserve"> activities are designed to offer significant benefits in addressing the diverse challenges faced by stakeholders, particularly in improving the understanding and enhancement of the Water-Energy-Food-Ecosystems (WEFE) Nexus. </w:t>
      </w:r>
      <w:r w:rsidRPr="00B21981">
        <w:rPr>
          <w:rFonts w:ascii="Arial" w:hAnsi="Arial" w:cs="Arial"/>
          <w:color w:val="000000" w:themeColor="text1"/>
          <w:sz w:val="22"/>
          <w:szCs w:val="22"/>
          <w:lang w:val="en-US"/>
        </w:rPr>
        <w:t xml:space="preserve">To achieve this goal, </w:t>
      </w:r>
      <w:r w:rsidRPr="00B21981">
        <w:rPr>
          <w:rFonts w:ascii="Arial" w:hAnsi="Arial" w:cs="Arial"/>
          <w:b/>
          <w:bCs/>
          <w:color w:val="000000" w:themeColor="text1"/>
          <w:sz w:val="22"/>
          <w:szCs w:val="22"/>
          <w:lang w:val="en-US"/>
        </w:rPr>
        <w:t xml:space="preserve">SureNexus will offer a range of products and services at no cost to SHP members. </w:t>
      </w:r>
      <w:r w:rsidRPr="00B21981">
        <w:rPr>
          <w:rFonts w:ascii="Arial" w:hAnsi="Arial" w:cs="Arial"/>
          <w:color w:val="000000" w:themeColor="text1"/>
          <w:sz w:val="22"/>
          <w:szCs w:val="22"/>
          <w:lang w:val="en-US"/>
        </w:rPr>
        <w:t xml:space="preserve">These offerings aim to support stakeholders in overcoming their challenges and making informed decisions within the NEXUS framework. </w:t>
      </w:r>
    </w:p>
    <w:p w14:paraId="506937F7" w14:textId="77777777" w:rsidR="00D531C2" w:rsidRPr="00D531C2" w:rsidRDefault="00D531C2" w:rsidP="00D531C2">
      <w:pPr>
        <w:pStyle w:val="Heading2"/>
        <w:spacing w:before="120" w:line="276" w:lineRule="auto"/>
        <w:jc w:val="both"/>
        <w:rPr>
          <w:rFonts w:ascii="Arial" w:hAnsi="Arial" w:cs="Arial"/>
          <w:color w:val="000000" w:themeColor="text1"/>
          <w:sz w:val="22"/>
          <w:szCs w:val="22"/>
          <w:lang w:val="en-US"/>
        </w:rPr>
      </w:pPr>
      <w:r w:rsidRPr="00D531C2">
        <w:rPr>
          <w:rFonts w:ascii="Arial" w:hAnsi="Arial" w:cs="Arial"/>
          <w:color w:val="000000" w:themeColor="text1"/>
          <w:sz w:val="22"/>
          <w:szCs w:val="22"/>
          <w:lang w:val="en-US"/>
        </w:rPr>
        <w:t xml:space="preserve">Below is a </w:t>
      </w:r>
      <w:r w:rsidRPr="00D531C2">
        <w:rPr>
          <w:rFonts w:ascii="Arial" w:hAnsi="Arial" w:cs="Arial"/>
          <w:b/>
          <w:bCs/>
          <w:color w:val="000000" w:themeColor="text1"/>
          <w:sz w:val="22"/>
          <w:szCs w:val="22"/>
          <w:lang w:val="en-US"/>
        </w:rPr>
        <w:t>summary of the activities to which member organizations can contribute</w:t>
      </w:r>
      <w:r w:rsidRPr="00D531C2">
        <w:rPr>
          <w:rFonts w:ascii="Arial" w:hAnsi="Arial" w:cs="Arial"/>
          <w:color w:val="000000" w:themeColor="text1"/>
          <w:sz w:val="22"/>
          <w:szCs w:val="22"/>
          <w:lang w:val="en-US"/>
        </w:rPr>
        <w:t>:</w:t>
      </w:r>
    </w:p>
    <w:p w14:paraId="6F94DD23" w14:textId="77777777" w:rsidR="00D531C2" w:rsidRPr="00D531C2"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n-US"/>
        </w:rPr>
      </w:pPr>
      <w:r w:rsidRPr="00D531C2">
        <w:rPr>
          <w:rFonts w:ascii="Arial" w:hAnsi="Arial" w:cs="Arial"/>
          <w:b/>
          <w:bCs/>
          <w:color w:val="000000" w:themeColor="text1"/>
          <w:sz w:val="22"/>
          <w:szCs w:val="22"/>
          <w:lang w:val="en-US"/>
        </w:rPr>
        <w:t>Design, creation, and testing of SETs</w:t>
      </w:r>
      <w:r w:rsidRPr="00D531C2">
        <w:rPr>
          <w:rFonts w:ascii="Arial" w:hAnsi="Arial" w:cs="Arial"/>
          <w:color w:val="000000" w:themeColor="text1"/>
          <w:sz w:val="22"/>
          <w:szCs w:val="22"/>
          <w:lang w:val="en-US"/>
        </w:rPr>
        <w:t>: Members can provide strategic advice, consult with local partners, or participate in pilot tests and other activities to design and test small-scale bioeconomy and nature-based solutions, leading to the creation of Socio-Ecological and Technical Systems (SETs) for NEXUS implementation.</w:t>
      </w:r>
    </w:p>
    <w:p w14:paraId="3CF482D3" w14:textId="77777777" w:rsidR="00D531C2" w:rsidRPr="00D531C2"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n-US"/>
        </w:rPr>
      </w:pPr>
      <w:r w:rsidRPr="00D531C2">
        <w:rPr>
          <w:rFonts w:ascii="Arial" w:hAnsi="Arial" w:cs="Arial"/>
          <w:b/>
          <w:bCs/>
          <w:color w:val="000000" w:themeColor="text1"/>
          <w:sz w:val="22"/>
          <w:szCs w:val="22"/>
          <w:lang w:val="en-US"/>
        </w:rPr>
        <w:t>Information and data provision</w:t>
      </w:r>
      <w:r w:rsidRPr="00D531C2">
        <w:rPr>
          <w:rFonts w:ascii="Arial" w:hAnsi="Arial" w:cs="Arial"/>
          <w:color w:val="000000" w:themeColor="text1"/>
          <w:sz w:val="22"/>
          <w:szCs w:val="22"/>
          <w:lang w:val="en-US"/>
        </w:rPr>
        <w:t>: Members play a key role in collecting and validating data throughout the project. They can provide relevant information through surveys, workshops, meetings, or documents, acting as a bridge between the project and local contexts.</w:t>
      </w:r>
    </w:p>
    <w:p w14:paraId="0B4B9CEA" w14:textId="77777777" w:rsidR="00D531C2" w:rsidRPr="00D531C2"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n-US"/>
        </w:rPr>
      </w:pPr>
      <w:r w:rsidRPr="00D531C2">
        <w:rPr>
          <w:rFonts w:ascii="Arial" w:hAnsi="Arial" w:cs="Arial"/>
          <w:b/>
          <w:bCs/>
          <w:color w:val="000000" w:themeColor="text1"/>
          <w:sz w:val="22"/>
          <w:szCs w:val="22"/>
          <w:lang w:val="en-US"/>
        </w:rPr>
        <w:t>Dissemination of results</w:t>
      </w:r>
      <w:r w:rsidRPr="00D531C2">
        <w:rPr>
          <w:rFonts w:ascii="Arial" w:hAnsi="Arial" w:cs="Arial"/>
          <w:color w:val="000000" w:themeColor="text1"/>
          <w:sz w:val="22"/>
          <w:szCs w:val="22"/>
          <w:lang w:val="en-US"/>
        </w:rPr>
        <w:t>: Members help expand the reach of project results by sharing information through their networks and collecting feedback on user needs, interests, and collaboration opportunities.</w:t>
      </w:r>
    </w:p>
    <w:p w14:paraId="6ECF82B0" w14:textId="77777777" w:rsidR="00D531C2" w:rsidRPr="00D531C2"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n-US"/>
        </w:rPr>
      </w:pPr>
      <w:r w:rsidRPr="00D531C2">
        <w:rPr>
          <w:rFonts w:ascii="Arial" w:hAnsi="Arial" w:cs="Arial"/>
          <w:b/>
          <w:bCs/>
          <w:color w:val="000000" w:themeColor="text1"/>
          <w:sz w:val="22"/>
          <w:szCs w:val="22"/>
          <w:lang w:val="en-US"/>
        </w:rPr>
        <w:t>Capacity building for local partners</w:t>
      </w:r>
      <w:r w:rsidRPr="00D531C2">
        <w:rPr>
          <w:rFonts w:ascii="Arial" w:hAnsi="Arial" w:cs="Arial"/>
          <w:color w:val="000000" w:themeColor="text1"/>
          <w:sz w:val="22"/>
          <w:szCs w:val="22"/>
          <w:lang w:val="en-US"/>
        </w:rPr>
        <w:t>: Members can support local partners by building their capacity related to NEXUS knowledge and implementation.</w:t>
      </w:r>
    </w:p>
    <w:p w14:paraId="7DAE284F" w14:textId="312F4FEA" w:rsidR="00D531C2" w:rsidRPr="00D531C2"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n-US"/>
        </w:rPr>
      </w:pPr>
      <w:r w:rsidRPr="00D531C2">
        <w:rPr>
          <w:rFonts w:ascii="Arial" w:hAnsi="Arial" w:cs="Arial"/>
          <w:b/>
          <w:bCs/>
          <w:color w:val="000000" w:themeColor="text1"/>
          <w:sz w:val="22"/>
          <w:szCs w:val="22"/>
          <w:lang w:val="en-US"/>
        </w:rPr>
        <w:t>Providing strategic advice and feedback</w:t>
      </w:r>
      <w:r w:rsidRPr="00D531C2">
        <w:rPr>
          <w:rFonts w:ascii="Arial" w:hAnsi="Arial" w:cs="Arial"/>
          <w:color w:val="000000" w:themeColor="text1"/>
          <w:sz w:val="22"/>
          <w:szCs w:val="22"/>
          <w:lang w:val="en-US"/>
        </w:rPr>
        <w:t>: The platform encourages members to offer strategic input, collaborate on new initiatives, and contribute to co-creating funding proposals, research, and other projects within the NEXUS framework.</w:t>
      </w:r>
    </w:p>
    <w:p w14:paraId="3BF95D23" w14:textId="77777777" w:rsidR="00D531C2" w:rsidRDefault="00D531C2" w:rsidP="00D726C2">
      <w:pPr>
        <w:pStyle w:val="Heading2"/>
        <w:spacing w:before="120" w:line="276" w:lineRule="auto"/>
        <w:jc w:val="both"/>
        <w:rPr>
          <w:rFonts w:ascii="Arial" w:hAnsi="Arial" w:cs="Arial"/>
          <w:sz w:val="22"/>
          <w:szCs w:val="22"/>
        </w:rPr>
      </w:pPr>
    </w:p>
    <w:p w14:paraId="082B0E9D" w14:textId="77777777" w:rsidR="00D531C2" w:rsidRPr="00B21981" w:rsidRDefault="00D531C2" w:rsidP="00D531C2">
      <w:pPr>
        <w:pStyle w:val="Heading2"/>
        <w:spacing w:before="120" w:line="276" w:lineRule="auto"/>
        <w:jc w:val="both"/>
        <w:rPr>
          <w:rFonts w:ascii="Arial" w:hAnsi="Arial" w:cs="Arial"/>
          <w:color w:val="000000" w:themeColor="text1"/>
          <w:sz w:val="22"/>
          <w:szCs w:val="22"/>
          <w:lang w:val="en-US"/>
        </w:rPr>
      </w:pPr>
      <w:r w:rsidRPr="00B21981">
        <w:rPr>
          <w:rFonts w:ascii="Arial" w:hAnsi="Arial" w:cs="Arial"/>
          <w:color w:val="000000" w:themeColor="text1"/>
          <w:sz w:val="22"/>
          <w:szCs w:val="22"/>
          <w:lang w:val="en-US"/>
        </w:rPr>
        <w:t>Identifying network stakeholders is crucial for the success of the knowledge exchange process. If stakeholders' expectations are not understood and managed properly, they may become disillusioned due to unmet hopes, personal ambitions, or fears. They may perceive the project as either under-ambitious or over-ambitious, leading to misalignment between the project's objectives and stakeholders' expectations.</w:t>
      </w:r>
    </w:p>
    <w:p w14:paraId="76DC5FF1" w14:textId="77777777" w:rsidR="00D531C2" w:rsidRPr="00B21981" w:rsidRDefault="00D531C2" w:rsidP="00D531C2">
      <w:pPr>
        <w:pStyle w:val="Heading2"/>
        <w:spacing w:before="120" w:line="276" w:lineRule="auto"/>
        <w:jc w:val="both"/>
        <w:rPr>
          <w:rFonts w:ascii="Arial" w:hAnsi="Arial" w:cs="Arial"/>
          <w:color w:val="000000" w:themeColor="text1"/>
          <w:sz w:val="22"/>
          <w:szCs w:val="22"/>
          <w:lang w:val="en-US"/>
        </w:rPr>
      </w:pPr>
      <w:r w:rsidRPr="00B21981">
        <w:rPr>
          <w:rFonts w:ascii="Arial" w:hAnsi="Arial" w:cs="Arial"/>
          <w:color w:val="000000" w:themeColor="text1"/>
          <w:sz w:val="22"/>
          <w:szCs w:val="22"/>
          <w:lang w:val="en-US"/>
        </w:rPr>
        <w:t>Another challenge is the gap between the time and effort stakeholders are willing to invest and what the project requires, which can result in stakeholder fatigue.</w:t>
      </w:r>
    </w:p>
    <w:p w14:paraId="7F59A89E" w14:textId="77777777" w:rsidR="00D531C2" w:rsidRPr="00B21981" w:rsidRDefault="00D531C2" w:rsidP="00D531C2">
      <w:pPr>
        <w:pStyle w:val="Heading2"/>
        <w:spacing w:before="120" w:line="276" w:lineRule="auto"/>
        <w:jc w:val="both"/>
        <w:rPr>
          <w:rFonts w:ascii="Arial" w:hAnsi="Arial" w:cs="Arial"/>
          <w:color w:val="000000" w:themeColor="text1"/>
          <w:sz w:val="22"/>
          <w:szCs w:val="22"/>
          <w:lang w:val="en-US"/>
        </w:rPr>
      </w:pPr>
      <w:r w:rsidRPr="00B21981">
        <w:rPr>
          <w:rFonts w:ascii="Arial" w:hAnsi="Arial" w:cs="Arial"/>
          <w:color w:val="000000" w:themeColor="text1"/>
          <w:sz w:val="22"/>
          <w:szCs w:val="22"/>
          <w:lang w:val="en-US"/>
        </w:rPr>
        <w:t>Expectation management should start from the first meeting and continue throughout the project, with regular reality checks along the way. Understanding stakeholders' expectations is essential to integrating them effectively into the project. Therefore, it is important to clearly communicate expectations at the outset. The next step is to align stakeholders on a set of common goals related to the living lab and project objectives. While the network goals should be ambitious enough to motivate stakeholders, unrealistic expectations should be addressed and managed.</w:t>
      </w:r>
    </w:p>
    <w:p w14:paraId="2DA6B035" w14:textId="77777777" w:rsidR="00D531C2" w:rsidRPr="00B21981" w:rsidRDefault="00D531C2" w:rsidP="00D531C2">
      <w:pPr>
        <w:pStyle w:val="Heading2"/>
        <w:spacing w:before="120" w:line="276" w:lineRule="auto"/>
        <w:jc w:val="both"/>
        <w:rPr>
          <w:rFonts w:ascii="Arial" w:hAnsi="Arial" w:cs="Arial"/>
          <w:color w:val="000000" w:themeColor="text1"/>
          <w:sz w:val="22"/>
          <w:szCs w:val="22"/>
          <w:lang w:val="en-US"/>
        </w:rPr>
      </w:pPr>
      <w:r w:rsidRPr="00B21981">
        <w:rPr>
          <w:rFonts w:ascii="Arial" w:hAnsi="Arial" w:cs="Arial"/>
          <w:color w:val="000000" w:themeColor="text1"/>
          <w:sz w:val="22"/>
          <w:szCs w:val="22"/>
          <w:lang w:val="en-US"/>
        </w:rPr>
        <w:lastRenderedPageBreak/>
        <w:t>To avoid stakeholder fatigue, the network should be structured as a dynamic, engaging event that connects well with stakeholders. However, it’s important to find a balance between overloading stakeholders and engaging them frequently enough to keep the project moving forward.</w:t>
      </w:r>
    </w:p>
    <w:p w14:paraId="06370798" w14:textId="6EC2B000" w:rsidR="00D531C2" w:rsidRPr="00D531C2" w:rsidRDefault="00D531C2" w:rsidP="00D531C2">
      <w:r w:rsidRPr="00B21981">
        <w:rPr>
          <w:rFonts w:ascii="Arial" w:hAnsi="Arial" w:cs="Arial"/>
          <w:color w:val="000000" w:themeColor="text1"/>
          <w:sz w:val="22"/>
          <w:szCs w:val="22"/>
          <w:lang w:val="en-US"/>
        </w:rPr>
        <w:t>Therefore, the level of collaboration and engagement with the platform should align with the interests and capacities of its members. Member organizations are encouraged to actively participate in all stages of the project, including dissemination activities and knowledge-sharing events. Their role is expected to go beyond simply receiving and sharing information; they should also contribute to the development of activities that help achieve the project’s objectives.</w:t>
      </w:r>
    </w:p>
    <w:p w14:paraId="143A589D" w14:textId="77777777" w:rsidR="00D531C2" w:rsidRDefault="00D531C2" w:rsidP="00D726C2">
      <w:pPr>
        <w:pStyle w:val="Heading2"/>
        <w:spacing w:before="120" w:line="276" w:lineRule="auto"/>
        <w:jc w:val="both"/>
        <w:rPr>
          <w:rFonts w:ascii="Arial" w:hAnsi="Arial" w:cs="Arial"/>
          <w:sz w:val="22"/>
          <w:szCs w:val="22"/>
        </w:rPr>
      </w:pPr>
    </w:p>
    <w:p w14:paraId="5769B122" w14:textId="0A2851DC" w:rsidR="00D726C2" w:rsidRPr="00661B4E" w:rsidRDefault="00D726C2" w:rsidP="00D726C2">
      <w:pPr>
        <w:pStyle w:val="Heading2"/>
        <w:spacing w:before="120" w:line="276" w:lineRule="auto"/>
        <w:jc w:val="both"/>
        <w:rPr>
          <w:rFonts w:ascii="Arial" w:hAnsi="Arial" w:cs="Arial"/>
          <w:b/>
          <w:bCs/>
          <w:color w:val="000000" w:themeColor="text1"/>
          <w:sz w:val="22"/>
          <w:szCs w:val="22"/>
        </w:rPr>
      </w:pPr>
      <w:r w:rsidRPr="00661B4E">
        <w:rPr>
          <w:rFonts w:ascii="Arial" w:hAnsi="Arial" w:cs="Arial"/>
          <w:b/>
          <w:bCs/>
          <w:color w:val="000000" w:themeColor="text1"/>
          <w:sz w:val="22"/>
          <w:szCs w:val="22"/>
        </w:rPr>
        <w:t xml:space="preserve">Below is a </w:t>
      </w:r>
      <w:r w:rsidR="00D531C2" w:rsidRPr="00661B4E">
        <w:rPr>
          <w:rFonts w:ascii="Arial" w:hAnsi="Arial" w:cs="Arial"/>
          <w:b/>
          <w:bCs/>
          <w:color w:val="000000" w:themeColor="text1"/>
          <w:sz w:val="22"/>
          <w:szCs w:val="22"/>
        </w:rPr>
        <w:t xml:space="preserve">detailed </w:t>
      </w:r>
      <w:r w:rsidRPr="00661B4E">
        <w:rPr>
          <w:rFonts w:ascii="Arial" w:hAnsi="Arial" w:cs="Arial"/>
          <w:b/>
          <w:bCs/>
          <w:color w:val="000000" w:themeColor="text1"/>
          <w:sz w:val="22"/>
          <w:szCs w:val="22"/>
        </w:rPr>
        <w:t xml:space="preserve">description of the </w:t>
      </w:r>
      <w:r w:rsidR="00D531C2" w:rsidRPr="00661B4E">
        <w:rPr>
          <w:rFonts w:ascii="Arial" w:hAnsi="Arial" w:cs="Arial"/>
          <w:b/>
          <w:bCs/>
          <w:color w:val="000000" w:themeColor="text1"/>
          <w:sz w:val="22"/>
          <w:szCs w:val="22"/>
        </w:rPr>
        <w:t xml:space="preserve">main </w:t>
      </w:r>
      <w:r w:rsidRPr="00661B4E">
        <w:rPr>
          <w:rFonts w:ascii="Arial" w:hAnsi="Arial" w:cs="Arial"/>
          <w:b/>
          <w:bCs/>
          <w:color w:val="000000" w:themeColor="text1"/>
          <w:sz w:val="22"/>
          <w:szCs w:val="22"/>
        </w:rPr>
        <w:t>activities</w:t>
      </w:r>
      <w:r w:rsidR="00D531C2" w:rsidRPr="00661B4E">
        <w:rPr>
          <w:rFonts w:ascii="Arial" w:hAnsi="Arial" w:cs="Arial"/>
          <w:b/>
          <w:bCs/>
          <w:color w:val="000000" w:themeColor="text1"/>
          <w:sz w:val="22"/>
          <w:szCs w:val="22"/>
        </w:rPr>
        <w:t xml:space="preserve"> focused for all</w:t>
      </w:r>
      <w:r w:rsidRPr="00661B4E">
        <w:rPr>
          <w:rFonts w:ascii="Arial" w:hAnsi="Arial" w:cs="Arial"/>
          <w:b/>
          <w:bCs/>
          <w:color w:val="000000" w:themeColor="text1"/>
          <w:sz w:val="22"/>
          <w:szCs w:val="22"/>
        </w:rPr>
        <w:t xml:space="preserve"> member organization</w:t>
      </w:r>
      <w:r w:rsidR="00D531C2" w:rsidRPr="00661B4E">
        <w:rPr>
          <w:rFonts w:ascii="Arial" w:hAnsi="Arial" w:cs="Arial"/>
          <w:b/>
          <w:bCs/>
          <w:color w:val="000000" w:themeColor="text1"/>
          <w:sz w:val="22"/>
          <w:szCs w:val="22"/>
        </w:rPr>
        <w:t>s</w:t>
      </w:r>
      <w:r w:rsidRPr="00661B4E">
        <w:rPr>
          <w:rFonts w:ascii="Arial" w:hAnsi="Arial" w:cs="Arial"/>
          <w:b/>
          <w:bCs/>
          <w:color w:val="000000" w:themeColor="text1"/>
          <w:sz w:val="22"/>
          <w:szCs w:val="22"/>
        </w:rPr>
        <w:t>. In addition to involvement, they can play a crucial role as contributors, leaders, or facilitators in these activities, depending on their expertise and capacity. Their active engagement will be vital to achieving the project’s objectives and maximizing its impact.</w:t>
      </w:r>
    </w:p>
    <w:p w14:paraId="1811F72F" w14:textId="77777777" w:rsidR="00D726C2" w:rsidRDefault="00D726C2" w:rsidP="00D726C2">
      <w:pPr>
        <w:rPr>
          <w:lang w:val="en-US"/>
        </w:rPr>
      </w:pPr>
    </w:p>
    <w:p w14:paraId="04448458" w14:textId="583A471E" w:rsidR="00D726C2" w:rsidRPr="00C85177" w:rsidRDefault="00C85177" w:rsidP="00D726C2">
      <w:pPr>
        <w:rPr>
          <w:b/>
          <w:bCs/>
          <w:lang w:val="en-US"/>
        </w:rPr>
      </w:pPr>
      <w:r w:rsidRPr="00C85177">
        <w:rPr>
          <w:b/>
          <w:bCs/>
          <w:lang w:val="en-US"/>
        </w:rPr>
        <w:t>Table 1. SureNexus Activities for SHP Members</w:t>
      </w:r>
    </w:p>
    <w:tbl>
      <w:tblPr>
        <w:tblW w:w="9062" w:type="dxa"/>
        <w:tblCellMar>
          <w:left w:w="0" w:type="dxa"/>
          <w:right w:w="0" w:type="dxa"/>
        </w:tblCellMar>
        <w:tblLook w:val="04A0" w:firstRow="1" w:lastRow="0" w:firstColumn="1" w:lastColumn="0" w:noHBand="0" w:noVBand="1"/>
      </w:tblPr>
      <w:tblGrid>
        <w:gridCol w:w="2825"/>
        <w:gridCol w:w="6237"/>
      </w:tblGrid>
      <w:tr w:rsidR="00D726C2" w:rsidRPr="00D726C2" w14:paraId="109DE08E" w14:textId="77777777" w:rsidTr="00B21981">
        <w:trPr>
          <w:trHeight w:val="510"/>
        </w:trPr>
        <w:tc>
          <w:tcPr>
            <w:tcW w:w="2825" w:type="dxa"/>
            <w:tcBorders>
              <w:top w:val="single" w:sz="8" w:space="0" w:color="FFFFFF"/>
              <w:left w:val="single" w:sz="8" w:space="0" w:color="FFFFFF"/>
              <w:bottom w:val="single" w:sz="24" w:space="0" w:color="FFFFFF"/>
              <w:right w:val="single" w:sz="8" w:space="0" w:color="FFFFFF"/>
            </w:tcBorders>
            <w:shd w:val="clear" w:color="auto" w:fill="009193"/>
            <w:tcMar>
              <w:top w:w="15" w:type="dxa"/>
              <w:left w:w="94" w:type="dxa"/>
              <w:bottom w:w="0" w:type="dxa"/>
              <w:right w:w="94" w:type="dxa"/>
            </w:tcMar>
            <w:hideMark/>
          </w:tcPr>
          <w:p w14:paraId="5395D545" w14:textId="77777777" w:rsidR="00D726C2" w:rsidRPr="00B21981" w:rsidRDefault="00D726C2" w:rsidP="00B21981">
            <w:pPr>
              <w:rPr>
                <w:color w:val="FFFFFF" w:themeColor="background1"/>
                <w:lang w:val="en-US"/>
              </w:rPr>
            </w:pPr>
            <w:r w:rsidRPr="00B21981">
              <w:rPr>
                <w:b/>
                <w:bCs/>
                <w:color w:val="FFFFFF" w:themeColor="background1"/>
                <w:lang w:val="en-GB"/>
              </w:rPr>
              <w:t>Main SureNexus Activity</w:t>
            </w:r>
          </w:p>
        </w:tc>
        <w:tc>
          <w:tcPr>
            <w:tcW w:w="6237" w:type="dxa"/>
            <w:tcBorders>
              <w:top w:val="single" w:sz="8" w:space="0" w:color="FFFFFF"/>
              <w:left w:val="single" w:sz="8" w:space="0" w:color="FFFFFF"/>
              <w:bottom w:val="single" w:sz="8" w:space="0" w:color="000000"/>
              <w:right w:val="single" w:sz="8" w:space="0" w:color="FFFFFF"/>
            </w:tcBorders>
            <w:shd w:val="clear" w:color="auto" w:fill="009193"/>
            <w:tcMar>
              <w:top w:w="15" w:type="dxa"/>
              <w:left w:w="94" w:type="dxa"/>
              <w:bottom w:w="0" w:type="dxa"/>
              <w:right w:w="94" w:type="dxa"/>
            </w:tcMar>
            <w:hideMark/>
          </w:tcPr>
          <w:p w14:paraId="3623A5D6" w14:textId="77777777" w:rsidR="00D726C2" w:rsidRPr="00B21981" w:rsidRDefault="00D726C2" w:rsidP="00B21981">
            <w:pPr>
              <w:rPr>
                <w:color w:val="FFFFFF" w:themeColor="background1"/>
                <w:lang w:val="en-US"/>
              </w:rPr>
            </w:pPr>
            <w:r w:rsidRPr="00B21981">
              <w:rPr>
                <w:b/>
                <w:bCs/>
                <w:color w:val="FFFFFF" w:themeColor="background1"/>
                <w:lang w:val="en-GB"/>
              </w:rPr>
              <w:t>Specific Acivity</w:t>
            </w:r>
          </w:p>
        </w:tc>
      </w:tr>
      <w:tr w:rsidR="00D726C2" w:rsidRPr="00D726C2" w14:paraId="77328D41" w14:textId="77777777" w:rsidTr="00B21981">
        <w:trPr>
          <w:trHeight w:val="20"/>
        </w:trPr>
        <w:tc>
          <w:tcPr>
            <w:tcW w:w="2825" w:type="dxa"/>
            <w:vMerge w:val="restart"/>
            <w:tcBorders>
              <w:top w:val="single" w:sz="24"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13BC6AF3"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lang w:val="en-GB"/>
              </w:rPr>
              <w:t>Continuous Training and Capacity Building I : General Courses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3E5FAB11"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 xml:space="preserve">WEFE Nexus (Approach, Governance, Metrics) </w:t>
            </w:r>
          </w:p>
        </w:tc>
      </w:tr>
      <w:tr w:rsidR="00D726C2" w:rsidRPr="00D726C2" w14:paraId="5F2B6AFB" w14:textId="77777777" w:rsidTr="00B21981">
        <w:trPr>
          <w:trHeight w:val="20"/>
        </w:trPr>
        <w:tc>
          <w:tcPr>
            <w:tcW w:w="2825" w:type="dxa"/>
            <w:vMerge/>
            <w:tcBorders>
              <w:top w:val="single" w:sz="24" w:space="0" w:color="FFFFFF"/>
              <w:left w:val="single" w:sz="8" w:space="0" w:color="FFFFFF"/>
              <w:bottom w:val="single" w:sz="8" w:space="0" w:color="FFFFFF"/>
              <w:right w:val="single" w:sz="8" w:space="0" w:color="000000"/>
            </w:tcBorders>
            <w:vAlign w:val="center"/>
            <w:hideMark/>
          </w:tcPr>
          <w:p w14:paraId="6961EDE6"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CF070FC"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NbS &amp; Ecosystems health and services</w:t>
            </w:r>
          </w:p>
        </w:tc>
      </w:tr>
      <w:tr w:rsidR="00D726C2" w:rsidRPr="00D726C2" w14:paraId="09D3D6A1" w14:textId="77777777" w:rsidTr="00B21981">
        <w:trPr>
          <w:trHeight w:val="20"/>
        </w:trPr>
        <w:tc>
          <w:tcPr>
            <w:tcW w:w="2825" w:type="dxa"/>
            <w:vMerge/>
            <w:tcBorders>
              <w:top w:val="single" w:sz="24" w:space="0" w:color="FFFFFF"/>
              <w:left w:val="single" w:sz="8" w:space="0" w:color="FFFFFF"/>
              <w:bottom w:val="single" w:sz="8" w:space="0" w:color="FFFFFF"/>
              <w:right w:val="single" w:sz="8" w:space="0" w:color="000000"/>
            </w:tcBorders>
            <w:vAlign w:val="center"/>
            <w:hideMark/>
          </w:tcPr>
          <w:p w14:paraId="1FB40D8E"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978C96A"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Circular “carbon” Bioeconomy</w:t>
            </w:r>
          </w:p>
        </w:tc>
      </w:tr>
      <w:tr w:rsidR="00D726C2" w:rsidRPr="00D726C2" w14:paraId="276183ED"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1EDDA047"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lang w:val="en-GB"/>
              </w:rPr>
              <w:t>Continuous Training and Capacity Building II : Specialized Courses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375A89B4"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AI Modelling &amp; Scenario analysis for WEFE Nexus</w:t>
            </w:r>
          </w:p>
        </w:tc>
      </w:tr>
      <w:tr w:rsidR="00D726C2" w:rsidRPr="00D726C2" w14:paraId="18DB65CE"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30EE427"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D5389D4"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NBS &amp; Ancestral Hydrotechnologies</w:t>
            </w:r>
          </w:p>
        </w:tc>
      </w:tr>
      <w:tr w:rsidR="00D726C2" w:rsidRPr="00D726C2" w14:paraId="1FBA6C27"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33DD56DE"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D5A63FB"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Climate change adaptation &amp; WEFE nexus</w:t>
            </w:r>
          </w:p>
        </w:tc>
      </w:tr>
      <w:tr w:rsidR="00D726C2" w:rsidRPr="00D726C2" w14:paraId="3F443CA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4DD3D116"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2090651"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Nexus Enabling Factors, Nexus Drivers of Change &amp; Sustainability Indicators</w:t>
            </w:r>
          </w:p>
        </w:tc>
      </w:tr>
      <w:tr w:rsidR="00D726C2" w:rsidRPr="00D726C2" w14:paraId="2A83E2F9"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37D7835F"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lang w:val="en-GB"/>
              </w:rPr>
              <w:t xml:space="preserve">On-demand Consultancy </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1D7AFE6"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Bioeconomy Practices</w:t>
            </w:r>
          </w:p>
        </w:tc>
      </w:tr>
      <w:tr w:rsidR="00D726C2" w:rsidRPr="00D726C2" w14:paraId="71C4A5B8"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A72AD3"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822954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Digital agriculture &amp; Agrivoltaics</w:t>
            </w:r>
          </w:p>
        </w:tc>
      </w:tr>
      <w:tr w:rsidR="00D726C2" w:rsidRPr="00D726C2" w14:paraId="7E35232C"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166C25"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173F9B4A"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Technology selection for water/wastewater treatment using NBS</w:t>
            </w:r>
          </w:p>
        </w:tc>
      </w:tr>
      <w:tr w:rsidR="00D726C2" w:rsidRPr="00D726C2" w14:paraId="2FEA84D5"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57933F27"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6EA91DC"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Concerns in the Agricultural Sector (pollution, irrigation, …)</w:t>
            </w:r>
          </w:p>
        </w:tc>
      </w:tr>
      <w:tr w:rsidR="00D726C2" w:rsidRPr="00D726C2" w14:paraId="22A86DD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52F6A609"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B4C8C1F"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Resource efficiency (energy and water)</w:t>
            </w:r>
          </w:p>
        </w:tc>
      </w:tr>
      <w:tr w:rsidR="00D726C2" w:rsidRPr="00D726C2" w14:paraId="1197A5CD"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328A65C9"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026FAEF5"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Climate change scenarios</w:t>
            </w:r>
          </w:p>
        </w:tc>
      </w:tr>
      <w:tr w:rsidR="00D726C2" w:rsidRPr="00D726C2" w14:paraId="1A812CB3"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01C0772E"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lang w:val="en-GB"/>
              </w:rPr>
              <w:t>Access to Technical  Summaries and Newletters &amp; Reports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FA8D1B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Technical Summaries (reports available for main documents in 6 languages: EN, SP, IT, FR, GR, AR).</w:t>
            </w:r>
          </w:p>
        </w:tc>
      </w:tr>
      <w:tr w:rsidR="00D726C2" w:rsidRPr="00D726C2" w14:paraId="4E0131F0"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89C9EC0"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B830FC7"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 xml:space="preserve">Newsletters, </w:t>
            </w:r>
          </w:p>
        </w:tc>
      </w:tr>
      <w:tr w:rsidR="00D726C2" w:rsidRPr="00D726C2" w14:paraId="395E0A29"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1EE5AC91"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C19EB2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Policy briefs</w:t>
            </w:r>
          </w:p>
        </w:tc>
      </w:tr>
      <w:tr w:rsidR="00D726C2" w:rsidRPr="00D726C2" w14:paraId="1383833A"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7B89125"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EA538DF"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Award recognizing best initiatives on WEFE Nexus</w:t>
            </w:r>
          </w:p>
        </w:tc>
      </w:tr>
      <w:tr w:rsidR="00D726C2" w:rsidRPr="00D726C2" w14:paraId="22047684"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374E1519"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lang w:val="en-GB"/>
              </w:rPr>
              <w:t>Networking Opportunities &amp; Join Actions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98C2F6E"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Stay Updated: Conferences / Workshops/ webinars/ Online Forums &amp; Discussion Groups</w:t>
            </w:r>
          </w:p>
        </w:tc>
      </w:tr>
      <w:tr w:rsidR="00D726C2" w:rsidRPr="00D726C2" w14:paraId="4AA7C4B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435A7B"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2F2E0D2"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 xml:space="preserve">Exchange of knowledge and experience about WEFE-NEXUS approach </w:t>
            </w:r>
          </w:p>
        </w:tc>
      </w:tr>
      <w:tr w:rsidR="00D726C2" w:rsidRPr="00D726C2" w14:paraId="5DBE3087"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1324D97"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1D75AAC" w14:textId="77777777" w:rsidR="00D726C2" w:rsidRPr="00D726C2" w:rsidRDefault="00D726C2" w:rsidP="00B21981">
            <w:pPr>
              <w:rPr>
                <w:rFonts w:ascii="Arial" w:hAnsi="Arial" w:cs="Arial"/>
                <w:sz w:val="16"/>
                <w:szCs w:val="16"/>
                <w:lang w:val="en-US"/>
              </w:rPr>
            </w:pPr>
            <w:r w:rsidRPr="00D726C2">
              <w:rPr>
                <w:rFonts w:ascii="Arial" w:hAnsi="Arial" w:cs="Arial"/>
                <w:sz w:val="16"/>
                <w:szCs w:val="16"/>
                <w:lang w:val="en-GB"/>
              </w:rPr>
              <w:t>Access to solutions from similar sector/Climate context</w:t>
            </w:r>
          </w:p>
        </w:tc>
      </w:tr>
    </w:tbl>
    <w:p w14:paraId="2B668786" w14:textId="77777777" w:rsidR="00D726C2" w:rsidRPr="00D726C2" w:rsidRDefault="00D726C2" w:rsidP="00D726C2">
      <w:pPr>
        <w:rPr>
          <w:b/>
          <w:bCs/>
          <w:lang w:val="en-US"/>
        </w:rPr>
      </w:pPr>
    </w:p>
    <w:p w14:paraId="7B37BF2B" w14:textId="77777777" w:rsidR="00D726C2" w:rsidRDefault="00D726C2" w:rsidP="00D726C2">
      <w:pPr>
        <w:rPr>
          <w:lang w:val="en-US"/>
        </w:rPr>
      </w:pPr>
    </w:p>
    <w:p w14:paraId="6C92C95B" w14:textId="77777777" w:rsidR="00D531C2" w:rsidRDefault="00D531C2" w:rsidP="00D726C2">
      <w:pPr>
        <w:rPr>
          <w:lang w:val="en-US"/>
        </w:rPr>
      </w:pPr>
    </w:p>
    <w:p w14:paraId="7B61921B" w14:textId="77777777" w:rsidR="00D531C2" w:rsidRDefault="00D531C2" w:rsidP="00D726C2">
      <w:pPr>
        <w:rPr>
          <w:lang w:val="en-US"/>
        </w:rPr>
      </w:pPr>
    </w:p>
    <w:p w14:paraId="4CAEB6CF" w14:textId="77777777" w:rsidR="00D531C2" w:rsidRDefault="00D531C2" w:rsidP="00D726C2">
      <w:pPr>
        <w:rPr>
          <w:lang w:val="en-US"/>
        </w:rPr>
      </w:pPr>
    </w:p>
    <w:p w14:paraId="768F723A" w14:textId="77777777" w:rsidR="00D531C2" w:rsidRDefault="00D531C2" w:rsidP="00D726C2">
      <w:pPr>
        <w:rPr>
          <w:lang w:val="en-US"/>
        </w:rPr>
      </w:pPr>
    </w:p>
    <w:p w14:paraId="353D0749" w14:textId="77777777" w:rsidR="00D531C2" w:rsidRDefault="00D531C2" w:rsidP="00D726C2">
      <w:pPr>
        <w:rPr>
          <w:lang w:val="en-US"/>
        </w:rPr>
      </w:pPr>
    </w:p>
    <w:p w14:paraId="0C9D1572" w14:textId="77777777" w:rsidR="00D531C2" w:rsidRDefault="00D531C2" w:rsidP="00D726C2">
      <w:pPr>
        <w:rPr>
          <w:lang w:val="en-US"/>
        </w:rPr>
      </w:pPr>
    </w:p>
    <w:p w14:paraId="6BC66A27" w14:textId="77777777" w:rsidR="00D531C2" w:rsidRPr="00D726C2" w:rsidRDefault="00D531C2" w:rsidP="00D726C2">
      <w:pPr>
        <w:rPr>
          <w:lang w:val="en-US"/>
        </w:rPr>
      </w:pPr>
    </w:p>
    <w:p w14:paraId="4FCEF83C" w14:textId="14CEEA5D" w:rsidR="00D726C2" w:rsidRDefault="00D726C2" w:rsidP="00D726C2">
      <w:pPr>
        <w:pStyle w:val="Heading2"/>
        <w:numPr>
          <w:ilvl w:val="0"/>
          <w:numId w:val="16"/>
        </w:numPr>
        <w:ind w:left="426"/>
        <w:rPr>
          <w:rFonts w:ascii="Arial" w:hAnsi="Arial" w:cs="Arial"/>
          <w:b/>
          <w:bCs/>
          <w:lang w:val="en-US"/>
        </w:rPr>
      </w:pPr>
      <w:r>
        <w:rPr>
          <w:rFonts w:ascii="Arial" w:hAnsi="Arial" w:cs="Arial"/>
          <w:b/>
          <w:bCs/>
          <w:lang w:val="en-US"/>
        </w:rPr>
        <w:lastRenderedPageBreak/>
        <w:t>Benefits for SHP members</w:t>
      </w:r>
    </w:p>
    <w:p w14:paraId="2BC2A594" w14:textId="77777777" w:rsidR="00E803B9" w:rsidRDefault="00E803B9" w:rsidP="00E803B9">
      <w:pPr>
        <w:rPr>
          <w:lang w:val="en-US"/>
        </w:rPr>
      </w:pPr>
    </w:p>
    <w:p w14:paraId="4B8F5FF4" w14:textId="523505D0" w:rsidR="00E803B9" w:rsidRPr="00E803B9" w:rsidRDefault="00E803B9" w:rsidP="00E803B9">
      <w:pPr>
        <w:jc w:val="both"/>
        <w:rPr>
          <w:rFonts w:ascii="Arial" w:hAnsi="Arial" w:cs="Arial"/>
          <w:sz w:val="22"/>
          <w:szCs w:val="22"/>
          <w:lang w:val="en-US"/>
        </w:rPr>
      </w:pPr>
      <w:r w:rsidRPr="00E803B9">
        <w:rPr>
          <w:rFonts w:ascii="Arial" w:hAnsi="Arial" w:cs="Arial"/>
          <w:sz w:val="22"/>
          <w:szCs w:val="22"/>
        </w:rPr>
        <w:t xml:space="preserve">The following </w:t>
      </w:r>
      <w:r w:rsidRPr="00E803B9">
        <w:rPr>
          <w:rFonts w:ascii="Arial" w:hAnsi="Arial" w:cs="Arial"/>
          <w:b/>
          <w:bCs/>
          <w:sz w:val="22"/>
          <w:szCs w:val="22"/>
        </w:rPr>
        <w:t>products will be made available free of charge to SHP members</w:t>
      </w:r>
      <w:r w:rsidRPr="00E803B9">
        <w:rPr>
          <w:rFonts w:ascii="Arial" w:hAnsi="Arial" w:cs="Arial"/>
          <w:sz w:val="22"/>
          <w:szCs w:val="22"/>
        </w:rPr>
        <w:t>. These products will serve as valuable resources for SHP members to enhance their knowledge, support NEXUS implementation, and foster collaboration across sectors:</w:t>
      </w:r>
    </w:p>
    <w:p w14:paraId="5D89701E" w14:textId="77777777" w:rsidR="00E803B9" w:rsidRPr="00D531C2" w:rsidRDefault="00E803B9" w:rsidP="00E803B9">
      <w:pPr>
        <w:rPr>
          <w:lang w:val="en-US"/>
        </w:rPr>
      </w:pPr>
    </w:p>
    <w:tbl>
      <w:tblPr>
        <w:tblW w:w="9062" w:type="dxa"/>
        <w:tblCellMar>
          <w:left w:w="0" w:type="dxa"/>
          <w:right w:w="0" w:type="dxa"/>
        </w:tblCellMar>
        <w:tblLook w:val="04A0" w:firstRow="1" w:lastRow="0" w:firstColumn="1" w:lastColumn="0" w:noHBand="0" w:noVBand="1"/>
      </w:tblPr>
      <w:tblGrid>
        <w:gridCol w:w="2967"/>
        <w:gridCol w:w="6095"/>
      </w:tblGrid>
      <w:tr w:rsidR="00E803B9" w:rsidRPr="00D726C2" w14:paraId="0B4E9C2D" w14:textId="77777777" w:rsidTr="00B21981">
        <w:trPr>
          <w:trHeight w:val="576"/>
        </w:trPr>
        <w:tc>
          <w:tcPr>
            <w:tcW w:w="2967" w:type="dxa"/>
            <w:tcBorders>
              <w:top w:val="single" w:sz="8" w:space="0" w:color="FFFFFF"/>
              <w:left w:val="single" w:sz="8" w:space="0" w:color="FFFFFF"/>
              <w:bottom w:val="single" w:sz="24" w:space="0" w:color="FFFFFF"/>
              <w:right w:val="single" w:sz="8" w:space="0" w:color="FFFFFF"/>
            </w:tcBorders>
            <w:shd w:val="clear" w:color="auto" w:fill="009193"/>
            <w:tcMar>
              <w:top w:w="15" w:type="dxa"/>
              <w:left w:w="94" w:type="dxa"/>
              <w:bottom w:w="0" w:type="dxa"/>
              <w:right w:w="94" w:type="dxa"/>
            </w:tcMar>
            <w:hideMark/>
          </w:tcPr>
          <w:p w14:paraId="7C9F04B0" w14:textId="77777777" w:rsidR="00E803B9" w:rsidRPr="00D726C2" w:rsidRDefault="00E803B9" w:rsidP="00B21981">
            <w:pPr>
              <w:spacing w:before="120" w:line="276" w:lineRule="auto"/>
              <w:ind w:right="281"/>
              <w:jc w:val="both"/>
              <w:rPr>
                <w:rFonts w:ascii="Arial" w:hAnsi="Arial" w:cs="Arial"/>
                <w:color w:val="FFFFFF" w:themeColor="background1"/>
                <w:sz w:val="22"/>
                <w:szCs w:val="22"/>
                <w:lang w:val="en-US"/>
              </w:rPr>
            </w:pPr>
            <w:r w:rsidRPr="00D726C2">
              <w:rPr>
                <w:rFonts w:ascii="Arial" w:hAnsi="Arial" w:cs="Arial"/>
                <w:b/>
                <w:bCs/>
                <w:color w:val="FFFFFF" w:themeColor="background1"/>
                <w:sz w:val="22"/>
                <w:szCs w:val="22"/>
                <w:lang w:val="en-GB"/>
              </w:rPr>
              <w:t>SureNexus Outcomes</w:t>
            </w:r>
          </w:p>
        </w:tc>
        <w:tc>
          <w:tcPr>
            <w:tcW w:w="6095" w:type="dxa"/>
            <w:tcBorders>
              <w:top w:val="single" w:sz="8" w:space="0" w:color="FFFFFF"/>
              <w:left w:val="single" w:sz="8" w:space="0" w:color="FFFFFF"/>
              <w:bottom w:val="single" w:sz="8" w:space="0" w:color="000000"/>
              <w:right w:val="single" w:sz="8" w:space="0" w:color="FFFFFF"/>
            </w:tcBorders>
            <w:shd w:val="clear" w:color="auto" w:fill="009193"/>
            <w:tcMar>
              <w:top w:w="15" w:type="dxa"/>
              <w:left w:w="94" w:type="dxa"/>
              <w:bottom w:w="0" w:type="dxa"/>
              <w:right w:w="94" w:type="dxa"/>
            </w:tcMar>
            <w:hideMark/>
          </w:tcPr>
          <w:p w14:paraId="7B83D350" w14:textId="77777777" w:rsidR="00E803B9" w:rsidRPr="00D726C2" w:rsidRDefault="00E803B9" w:rsidP="00B21981">
            <w:pPr>
              <w:spacing w:before="120" w:line="276" w:lineRule="auto"/>
              <w:ind w:right="2820"/>
              <w:jc w:val="both"/>
              <w:rPr>
                <w:rFonts w:ascii="Arial" w:hAnsi="Arial" w:cs="Arial"/>
                <w:color w:val="FFFFFF" w:themeColor="background1"/>
                <w:sz w:val="22"/>
                <w:szCs w:val="22"/>
                <w:lang w:val="en-US"/>
              </w:rPr>
            </w:pPr>
            <w:r w:rsidRPr="00D726C2">
              <w:rPr>
                <w:rFonts w:ascii="Arial" w:hAnsi="Arial" w:cs="Arial"/>
                <w:b/>
                <w:bCs/>
                <w:color w:val="FFFFFF" w:themeColor="background1"/>
                <w:sz w:val="22"/>
                <w:szCs w:val="22"/>
                <w:lang w:val="en-GB"/>
              </w:rPr>
              <w:t>Outcome Access for SHP members</w:t>
            </w:r>
          </w:p>
        </w:tc>
      </w:tr>
      <w:tr w:rsidR="00E803B9" w:rsidRPr="00D726C2" w14:paraId="1D2C24EC" w14:textId="77777777" w:rsidTr="00B21981">
        <w:trPr>
          <w:trHeight w:val="20"/>
        </w:trPr>
        <w:tc>
          <w:tcPr>
            <w:tcW w:w="2967" w:type="dxa"/>
            <w:vMerge w:val="restart"/>
            <w:tcBorders>
              <w:top w:val="single" w:sz="24"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1CA246A" w14:textId="77777777" w:rsidR="00E803B9" w:rsidRPr="00D726C2" w:rsidRDefault="00E803B9" w:rsidP="00B21981">
            <w:pPr>
              <w:spacing w:before="120" w:line="276" w:lineRule="auto"/>
              <w:ind w:right="281"/>
              <w:jc w:val="both"/>
              <w:rPr>
                <w:rFonts w:ascii="Arial" w:hAnsi="Arial" w:cs="Arial"/>
                <w:sz w:val="16"/>
                <w:szCs w:val="16"/>
                <w:lang w:val="en-US"/>
              </w:rPr>
            </w:pPr>
            <w:r w:rsidRPr="00D726C2">
              <w:rPr>
                <w:rFonts w:ascii="Arial" w:hAnsi="Arial" w:cs="Arial"/>
                <w:b/>
                <w:bCs/>
                <w:sz w:val="16"/>
                <w:szCs w:val="16"/>
                <w:lang w:val="en-GB"/>
              </w:rPr>
              <w:t>Continuous Training and Capacity Building (General &amp; Specialized courses)</w:t>
            </w:r>
            <w:r w:rsidRPr="00D531C2">
              <w:rPr>
                <w:rFonts w:ascii="Arial" w:hAnsi="Arial" w:cs="Arial"/>
                <w:b/>
                <w:bCs/>
                <w:sz w:val="16"/>
                <w:szCs w:val="16"/>
                <w:lang w:val="en-US"/>
              </w:rPr>
              <w:t xml:space="preserve"> </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2E3EDF2"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Access to workshops / Confererences (discounted fees)</w:t>
            </w:r>
            <w:r w:rsidRPr="00D531C2">
              <w:rPr>
                <w:rFonts w:ascii="Arial" w:hAnsi="Arial" w:cs="Arial"/>
                <w:sz w:val="16"/>
                <w:szCs w:val="16"/>
                <w:lang w:val="en-US"/>
              </w:rPr>
              <w:t xml:space="preserve"> </w:t>
            </w:r>
          </w:p>
        </w:tc>
      </w:tr>
      <w:tr w:rsidR="00E803B9" w:rsidRPr="00D726C2" w14:paraId="0EF1851D" w14:textId="77777777" w:rsidTr="00B21981">
        <w:trPr>
          <w:trHeight w:val="20"/>
        </w:trPr>
        <w:tc>
          <w:tcPr>
            <w:tcW w:w="2967" w:type="dxa"/>
            <w:vMerge/>
            <w:tcBorders>
              <w:top w:val="single" w:sz="24" w:space="0" w:color="FFFFFF"/>
              <w:left w:val="single" w:sz="8" w:space="0" w:color="FFFFFF"/>
              <w:bottom w:val="single" w:sz="8" w:space="0" w:color="FFFFFF"/>
              <w:right w:val="single" w:sz="8" w:space="0" w:color="000000"/>
            </w:tcBorders>
            <w:vAlign w:val="center"/>
            <w:hideMark/>
          </w:tcPr>
          <w:p w14:paraId="41913A91" w14:textId="77777777" w:rsidR="00E803B9" w:rsidRPr="00D726C2" w:rsidRDefault="00E803B9" w:rsidP="00B21981">
            <w:pPr>
              <w:spacing w:before="120" w:line="276" w:lineRule="auto"/>
              <w:ind w:right="281"/>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7B80956E"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Access to Formation Materials</w:t>
            </w:r>
            <w:r w:rsidRPr="00D726C2">
              <w:rPr>
                <w:rFonts w:ascii="Arial" w:hAnsi="Arial" w:cs="Arial"/>
                <w:sz w:val="16"/>
                <w:szCs w:val="16"/>
                <w:lang w:val="es-ES"/>
              </w:rPr>
              <w:t xml:space="preserve"> </w:t>
            </w:r>
          </w:p>
        </w:tc>
      </w:tr>
      <w:tr w:rsidR="00E803B9" w:rsidRPr="00D726C2" w14:paraId="429B8C55" w14:textId="77777777" w:rsidTr="00B21981">
        <w:trPr>
          <w:trHeight w:val="20"/>
        </w:trPr>
        <w:tc>
          <w:tcPr>
            <w:tcW w:w="2967" w:type="dxa"/>
            <w:vMerge/>
            <w:tcBorders>
              <w:top w:val="single" w:sz="24" w:space="0" w:color="FFFFFF"/>
              <w:left w:val="single" w:sz="8" w:space="0" w:color="FFFFFF"/>
              <w:bottom w:val="single" w:sz="8" w:space="0" w:color="FFFFFF"/>
              <w:right w:val="single" w:sz="8" w:space="0" w:color="000000"/>
            </w:tcBorders>
            <w:vAlign w:val="center"/>
            <w:hideMark/>
          </w:tcPr>
          <w:p w14:paraId="628C6F71" w14:textId="77777777" w:rsidR="00E803B9" w:rsidRPr="00D726C2" w:rsidRDefault="00E803B9" w:rsidP="00B21981">
            <w:pPr>
              <w:spacing w:before="120" w:line="276" w:lineRule="auto"/>
              <w:ind w:right="281"/>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09C2DF3"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 xml:space="preserve">Recognized certification </w:t>
            </w:r>
          </w:p>
        </w:tc>
      </w:tr>
      <w:tr w:rsidR="00E803B9" w:rsidRPr="00D726C2" w14:paraId="3AEA8FC4"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463768A" w14:textId="77777777" w:rsidR="00E803B9" w:rsidRPr="00D726C2" w:rsidRDefault="00E803B9" w:rsidP="00B21981">
            <w:pPr>
              <w:spacing w:before="120" w:line="276" w:lineRule="auto"/>
              <w:ind w:right="281"/>
              <w:jc w:val="both"/>
              <w:rPr>
                <w:rFonts w:ascii="Arial" w:hAnsi="Arial" w:cs="Arial"/>
                <w:sz w:val="16"/>
                <w:szCs w:val="16"/>
                <w:lang w:val="en-US"/>
              </w:rPr>
            </w:pPr>
            <w:r w:rsidRPr="00D726C2">
              <w:rPr>
                <w:rFonts w:ascii="Arial" w:hAnsi="Arial" w:cs="Arial"/>
                <w:b/>
                <w:bCs/>
                <w:sz w:val="16"/>
                <w:szCs w:val="16"/>
                <w:lang w:val="en-GB"/>
              </w:rPr>
              <w:t xml:space="preserve">On-demand Consultancy </w:t>
            </w: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C767EB"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 xml:space="preserve">4 free consultations per organization (Annually) </w:t>
            </w:r>
          </w:p>
        </w:tc>
      </w:tr>
      <w:tr w:rsidR="00E803B9" w:rsidRPr="00D726C2" w14:paraId="731B9D93"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39A3389" w14:textId="77777777" w:rsidR="00E803B9" w:rsidRPr="00D726C2" w:rsidRDefault="00E803B9" w:rsidP="00B21981">
            <w:pPr>
              <w:spacing w:before="120" w:line="276" w:lineRule="auto"/>
              <w:ind w:right="281"/>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7E6BC"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1 Climate Change scenario per location (Annually)</w:t>
            </w:r>
          </w:p>
        </w:tc>
      </w:tr>
      <w:tr w:rsidR="00E803B9" w:rsidRPr="00D726C2" w14:paraId="7DDAF1D4"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05790418" w14:textId="77777777" w:rsidR="00E803B9" w:rsidRPr="00D726C2" w:rsidRDefault="00E803B9" w:rsidP="00B21981">
            <w:pPr>
              <w:spacing w:before="120" w:line="276" w:lineRule="auto"/>
              <w:ind w:right="281"/>
              <w:jc w:val="both"/>
              <w:rPr>
                <w:rFonts w:ascii="Arial" w:hAnsi="Arial" w:cs="Arial"/>
                <w:sz w:val="16"/>
                <w:szCs w:val="16"/>
                <w:lang w:val="en-US"/>
              </w:rPr>
            </w:pPr>
            <w:r w:rsidRPr="00D726C2">
              <w:rPr>
                <w:rFonts w:ascii="Arial" w:hAnsi="Arial" w:cs="Arial"/>
                <w:b/>
                <w:bCs/>
                <w:sz w:val="16"/>
                <w:szCs w:val="16"/>
                <w:lang w:val="en-GB"/>
              </w:rPr>
              <w:t>Access to Technical  Summaries and Newletters &amp; Reports</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0E9ED195"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Access to Technical Summaries (reports available for main documents in 6 languages: EN, SP, IT, FR, GR, AR).</w:t>
            </w:r>
          </w:p>
        </w:tc>
      </w:tr>
      <w:tr w:rsidR="00E803B9" w:rsidRPr="00D726C2" w14:paraId="404962FF"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37C54C4"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3CCBBB1"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1 report from each DS (4 sectorial reports)</w:t>
            </w:r>
            <w:r w:rsidRPr="00D531C2">
              <w:rPr>
                <w:rFonts w:ascii="Arial" w:hAnsi="Arial" w:cs="Arial"/>
                <w:sz w:val="16"/>
                <w:szCs w:val="16"/>
                <w:lang w:val="en-US"/>
              </w:rPr>
              <w:t xml:space="preserve"> </w:t>
            </w:r>
          </w:p>
        </w:tc>
      </w:tr>
      <w:tr w:rsidR="00E803B9" w:rsidRPr="00D726C2" w14:paraId="321AED0A"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A67A77A"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90E12A"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1 technical report on Plastics in Agriculture (CTPC)</w:t>
            </w:r>
          </w:p>
        </w:tc>
      </w:tr>
      <w:tr w:rsidR="00E803B9" w:rsidRPr="00D726C2" w14:paraId="3977EBB1"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4E0457DF"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BEB8B"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1 technical report on NbS for Agriculture</w:t>
            </w:r>
          </w:p>
        </w:tc>
      </w:tr>
      <w:tr w:rsidR="00E803B9" w:rsidRPr="00D726C2" w14:paraId="7CFA033C"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4899C7FB"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9CA7D"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 xml:space="preserve">1 technical report on Bioeconomy solutions for Agriculture </w:t>
            </w:r>
          </w:p>
        </w:tc>
      </w:tr>
      <w:tr w:rsidR="00E803B9" w:rsidRPr="00D726C2" w14:paraId="69AB304A"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1E5B0F3B" w14:textId="77777777" w:rsidR="00E803B9" w:rsidRPr="00D726C2" w:rsidRDefault="00E803B9" w:rsidP="00B21981">
            <w:pPr>
              <w:spacing w:before="120" w:line="276" w:lineRule="auto"/>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6641CA2"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Free access for registered members to: Newsletters, Reports, Summaries, Guidelines, White Reports, …</w:t>
            </w:r>
            <w:r w:rsidRPr="00D531C2">
              <w:rPr>
                <w:rFonts w:ascii="Arial" w:hAnsi="Arial" w:cs="Arial"/>
                <w:sz w:val="16"/>
                <w:szCs w:val="16"/>
                <w:lang w:val="en-US"/>
              </w:rPr>
              <w:t xml:space="preserve"> </w:t>
            </w:r>
          </w:p>
        </w:tc>
      </w:tr>
      <w:tr w:rsidR="00E803B9" w:rsidRPr="00D726C2" w14:paraId="5A584635"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76884FC" w14:textId="77777777" w:rsidR="00E803B9" w:rsidRPr="00D726C2" w:rsidRDefault="00E803B9" w:rsidP="00B21981">
            <w:pPr>
              <w:spacing w:before="120" w:line="276" w:lineRule="auto"/>
              <w:jc w:val="both"/>
              <w:rPr>
                <w:rFonts w:ascii="Arial" w:hAnsi="Arial" w:cs="Arial"/>
                <w:sz w:val="16"/>
                <w:szCs w:val="16"/>
                <w:lang w:val="en-US"/>
              </w:rPr>
            </w:pPr>
            <w:r w:rsidRPr="00D726C2">
              <w:rPr>
                <w:rFonts w:ascii="Arial" w:hAnsi="Arial" w:cs="Arial"/>
                <w:b/>
                <w:bCs/>
                <w:sz w:val="16"/>
                <w:szCs w:val="16"/>
                <w:lang w:val="en-GB"/>
              </w:rPr>
              <w:t>Networking Opportunities &amp; Join Actions</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FC2AC49"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Access for Partners to the “Solutions to Similar Problems”  Database (SiProS)</w:t>
            </w:r>
            <w:r w:rsidRPr="00D531C2">
              <w:rPr>
                <w:rFonts w:ascii="Arial" w:hAnsi="Arial" w:cs="Arial"/>
                <w:sz w:val="16"/>
                <w:szCs w:val="16"/>
                <w:lang w:val="en-US"/>
              </w:rPr>
              <w:t xml:space="preserve"> </w:t>
            </w:r>
          </w:p>
        </w:tc>
      </w:tr>
      <w:tr w:rsidR="00E803B9" w:rsidRPr="00D726C2" w14:paraId="5819DAFE"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078A495B" w14:textId="77777777" w:rsidR="00E803B9" w:rsidRPr="00D726C2" w:rsidRDefault="00E803B9" w:rsidP="00B21981">
            <w:pPr>
              <w:spacing w:before="120" w:line="276" w:lineRule="auto"/>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F2CE353"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Direct easy access to WEFE Nexus Community of Practices</w:t>
            </w:r>
            <w:r w:rsidRPr="00D531C2">
              <w:rPr>
                <w:rFonts w:ascii="Arial" w:hAnsi="Arial" w:cs="Arial"/>
                <w:sz w:val="16"/>
                <w:szCs w:val="16"/>
                <w:lang w:val="en-US"/>
              </w:rPr>
              <w:t xml:space="preserve"> </w:t>
            </w:r>
          </w:p>
        </w:tc>
      </w:tr>
      <w:tr w:rsidR="00E803B9" w:rsidRPr="00D726C2" w14:paraId="1F3F26EC"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72F31511" w14:textId="77777777" w:rsidR="00E803B9" w:rsidRPr="00D726C2" w:rsidRDefault="00E803B9" w:rsidP="00B21981">
            <w:pPr>
              <w:spacing w:before="120" w:line="276" w:lineRule="auto"/>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727C225C"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lang w:val="en-GB"/>
              </w:rPr>
              <w:t>Access to and Use of the SHP Members Database</w:t>
            </w:r>
            <w:r w:rsidRPr="00D531C2">
              <w:rPr>
                <w:rFonts w:ascii="Arial" w:hAnsi="Arial" w:cs="Arial"/>
                <w:sz w:val="16"/>
                <w:szCs w:val="16"/>
                <w:lang w:val="en-US"/>
              </w:rPr>
              <w:t xml:space="preserve"> </w:t>
            </w:r>
          </w:p>
        </w:tc>
      </w:tr>
    </w:tbl>
    <w:p w14:paraId="0AD39165" w14:textId="77777777" w:rsidR="00E803B9" w:rsidRPr="00E803B9" w:rsidRDefault="00E803B9" w:rsidP="00E803B9">
      <w:pPr>
        <w:rPr>
          <w:lang w:val="en-US"/>
        </w:rPr>
      </w:pPr>
    </w:p>
    <w:p w14:paraId="0058FB3F" w14:textId="77777777" w:rsidR="00E803B9" w:rsidRDefault="00E803B9" w:rsidP="00E803B9">
      <w:pPr>
        <w:rPr>
          <w:lang w:val="en-US"/>
        </w:rPr>
      </w:pPr>
    </w:p>
    <w:p w14:paraId="096D6230" w14:textId="224507C5" w:rsidR="00E803B9" w:rsidRDefault="00E803B9" w:rsidP="00E803B9">
      <w:pPr>
        <w:pStyle w:val="Heading2"/>
        <w:numPr>
          <w:ilvl w:val="0"/>
          <w:numId w:val="16"/>
        </w:numPr>
        <w:ind w:left="426"/>
        <w:rPr>
          <w:rFonts w:ascii="Arial" w:hAnsi="Arial" w:cs="Arial"/>
          <w:b/>
          <w:bCs/>
          <w:lang w:val="en-US"/>
        </w:rPr>
      </w:pPr>
      <w:r>
        <w:rPr>
          <w:rFonts w:ascii="Arial" w:hAnsi="Arial" w:cs="Arial"/>
          <w:b/>
          <w:bCs/>
          <w:lang w:val="en-US"/>
        </w:rPr>
        <w:t>Outreach Plan</w:t>
      </w:r>
    </w:p>
    <w:p w14:paraId="770EAF70" w14:textId="77777777" w:rsidR="00E803B9" w:rsidRPr="00E803B9" w:rsidRDefault="00E803B9" w:rsidP="00E803B9">
      <w:pPr>
        <w:rPr>
          <w:lang w:val="en-US"/>
        </w:rPr>
      </w:pPr>
    </w:p>
    <w:p w14:paraId="291EF046" w14:textId="77777777" w:rsidR="002040C4" w:rsidRPr="002040C4" w:rsidRDefault="002040C4" w:rsidP="002040C4">
      <w:pPr>
        <w:pStyle w:val="Heading2"/>
        <w:spacing w:before="120" w:line="276" w:lineRule="auto"/>
        <w:jc w:val="both"/>
        <w:rPr>
          <w:rFonts w:ascii="Arial" w:hAnsi="Arial" w:cs="Arial"/>
          <w:color w:val="000000" w:themeColor="text1"/>
          <w:sz w:val="22"/>
          <w:szCs w:val="22"/>
          <w:lang w:val="en-US"/>
        </w:rPr>
      </w:pPr>
      <w:r w:rsidRPr="002040C4">
        <w:rPr>
          <w:rFonts w:ascii="Arial" w:hAnsi="Arial" w:cs="Arial"/>
          <w:color w:val="000000" w:themeColor="text1"/>
          <w:sz w:val="22"/>
          <w:szCs w:val="22"/>
          <w:lang w:val="en-US"/>
        </w:rPr>
        <w:t>Effective communication between the project and SHP members is crucial. Equally important is ensuring that SHP members can convey the project's activities and scope to their local partners and gather feedback through their networks. To achieve this, various communication channels will be established.</w:t>
      </w:r>
    </w:p>
    <w:p w14:paraId="22F46999" w14:textId="77777777" w:rsidR="002040C4" w:rsidRPr="002040C4" w:rsidRDefault="002040C4" w:rsidP="002040C4">
      <w:pPr>
        <w:pStyle w:val="Heading2"/>
        <w:spacing w:before="120" w:line="276" w:lineRule="auto"/>
        <w:jc w:val="both"/>
        <w:rPr>
          <w:rFonts w:ascii="Arial" w:hAnsi="Arial" w:cs="Arial"/>
          <w:color w:val="000000" w:themeColor="text1"/>
          <w:sz w:val="22"/>
          <w:szCs w:val="22"/>
          <w:lang w:val="en-US"/>
        </w:rPr>
      </w:pPr>
      <w:r w:rsidRPr="002040C4">
        <w:rPr>
          <w:rFonts w:ascii="Arial" w:hAnsi="Arial" w:cs="Arial"/>
          <w:color w:val="000000" w:themeColor="text1"/>
          <w:sz w:val="22"/>
          <w:szCs w:val="22"/>
          <w:lang w:val="en-US"/>
        </w:rPr>
        <w:t>The platform will be coordinated through an online management system, serving as an exclusive virtual space for consortium and platform members to access and organize relevant information. Additionally, regular communication via email will be maintained with each SHP member. To ensure smooth communication, members will designate a focal point responsible for channeling information, concerns, and knowledge within their organization and to local partners, as well as coordinating with other platform members.</w:t>
      </w:r>
    </w:p>
    <w:p w14:paraId="1583E6F4" w14:textId="77777777" w:rsidR="002040C4" w:rsidRPr="002040C4" w:rsidRDefault="002040C4" w:rsidP="002040C4">
      <w:pPr>
        <w:pStyle w:val="Heading2"/>
        <w:spacing w:before="120" w:line="276" w:lineRule="auto"/>
        <w:jc w:val="both"/>
        <w:rPr>
          <w:rFonts w:ascii="Arial" w:hAnsi="Arial" w:cs="Arial"/>
          <w:color w:val="000000" w:themeColor="text1"/>
          <w:sz w:val="22"/>
          <w:szCs w:val="22"/>
          <w:lang w:val="en-US"/>
        </w:rPr>
      </w:pPr>
      <w:r w:rsidRPr="002040C4">
        <w:rPr>
          <w:rFonts w:ascii="Arial" w:hAnsi="Arial" w:cs="Arial"/>
          <w:color w:val="000000" w:themeColor="text1"/>
          <w:sz w:val="22"/>
          <w:szCs w:val="22"/>
          <w:lang w:val="en-US"/>
        </w:rPr>
        <w:t>The project’s website and social media pages will also serve as communication channels to share research results, updates, activities, and public information. SHP members are expected to share this information through their own communication channels to reach a wider audience, especially local stakeholders outside the project’s direct scope.</w:t>
      </w:r>
    </w:p>
    <w:p w14:paraId="003FE65A" w14:textId="77777777" w:rsidR="002040C4" w:rsidRDefault="002040C4" w:rsidP="002040C4">
      <w:pPr>
        <w:pStyle w:val="Heading2"/>
        <w:spacing w:before="120" w:line="276" w:lineRule="auto"/>
        <w:jc w:val="both"/>
        <w:rPr>
          <w:rFonts w:ascii="Arial" w:hAnsi="Arial" w:cs="Arial"/>
          <w:color w:val="000000" w:themeColor="text1"/>
          <w:sz w:val="22"/>
          <w:szCs w:val="22"/>
          <w:lang w:val="en-US"/>
        </w:rPr>
      </w:pPr>
      <w:r w:rsidRPr="002040C4">
        <w:rPr>
          <w:rFonts w:ascii="Arial" w:hAnsi="Arial" w:cs="Arial"/>
          <w:color w:val="000000" w:themeColor="text1"/>
          <w:sz w:val="22"/>
          <w:szCs w:val="22"/>
          <w:lang w:val="en-US"/>
        </w:rPr>
        <w:t>The project will also create additional communication and networking spaces, including online and face-to-face seminars, workshops, newsletters, and forums, to foster collaboration and facilitate the dissemination of results among platform members.</w:t>
      </w:r>
    </w:p>
    <w:p w14:paraId="00D2E960" w14:textId="77777777" w:rsidR="00590349" w:rsidRDefault="00590349" w:rsidP="00590349">
      <w:pPr>
        <w:rPr>
          <w:lang w:val="en-US"/>
        </w:rPr>
      </w:pPr>
    </w:p>
    <w:p w14:paraId="6B712819" w14:textId="77777777" w:rsidR="00933758" w:rsidRDefault="00933758" w:rsidP="00590349">
      <w:pPr>
        <w:rPr>
          <w:lang w:val="en-US"/>
        </w:rPr>
      </w:pPr>
    </w:p>
    <w:p w14:paraId="7B574AE6" w14:textId="77777777" w:rsidR="0047645C" w:rsidRDefault="0047645C" w:rsidP="00590349">
      <w:pPr>
        <w:rPr>
          <w:lang w:val="en-US"/>
        </w:rPr>
      </w:pPr>
    </w:p>
    <w:p w14:paraId="052945A4" w14:textId="77777777" w:rsidR="0047645C" w:rsidRDefault="0047645C" w:rsidP="00590349">
      <w:pPr>
        <w:rPr>
          <w:lang w:val="en-US"/>
        </w:rPr>
      </w:pPr>
    </w:p>
    <w:p w14:paraId="12799328" w14:textId="79A43511" w:rsidR="0047645C" w:rsidRPr="0047645C" w:rsidRDefault="0047645C" w:rsidP="0047645C">
      <w:pPr>
        <w:pStyle w:val="Heading1"/>
        <w:jc w:val="center"/>
        <w:rPr>
          <w:rFonts w:ascii="Arial" w:hAnsi="Arial" w:cs="Arial"/>
          <w:b/>
          <w:bCs/>
          <w:sz w:val="28"/>
          <w:szCs w:val="28"/>
          <w:lang w:val="en-GB"/>
        </w:rPr>
      </w:pPr>
      <w:r>
        <w:rPr>
          <w:rFonts w:ascii="Arial" w:hAnsi="Arial" w:cs="Arial"/>
          <w:b/>
          <w:bCs/>
          <w:sz w:val="28"/>
          <w:szCs w:val="28"/>
          <w:lang w:val="en-GB"/>
        </w:rPr>
        <w:t>Internal Schedule for SHP Launch</w:t>
      </w:r>
    </w:p>
    <w:p w14:paraId="07192E18" w14:textId="77777777" w:rsidR="0047645C" w:rsidRDefault="0047645C" w:rsidP="0047645C">
      <w:pPr>
        <w:spacing w:before="120"/>
        <w:jc w:val="both"/>
        <w:rPr>
          <w:rFonts w:ascii="Arial" w:hAnsi="Arial" w:cs="Arial"/>
          <w:sz w:val="22"/>
          <w:szCs w:val="22"/>
        </w:rPr>
      </w:pPr>
    </w:p>
    <w:p w14:paraId="11A730DD" w14:textId="2B94D0C0" w:rsidR="0047645C" w:rsidRDefault="0047645C" w:rsidP="0047645C">
      <w:pPr>
        <w:spacing w:before="120"/>
        <w:jc w:val="both"/>
        <w:rPr>
          <w:rFonts w:ascii="Arial" w:hAnsi="Arial" w:cs="Arial"/>
          <w:sz w:val="22"/>
          <w:szCs w:val="22"/>
        </w:rPr>
      </w:pPr>
      <w:r w:rsidRPr="0047645C">
        <w:rPr>
          <w:rFonts w:ascii="Arial" w:hAnsi="Arial" w:cs="Arial"/>
          <w:sz w:val="22"/>
          <w:szCs w:val="22"/>
        </w:rPr>
        <w:t>The outlined steps below are essential for accelerating the formation of the SHP. Each partner plays a pivotal role in driving the adoption and successful implementation of the SHP framework, ensuring that all objectives are met effectively and collaboratively. Their active participation and commitment are key to building a strong and sustainable foundation for the SHP.</w:t>
      </w:r>
    </w:p>
    <w:p w14:paraId="3555F612" w14:textId="77777777" w:rsidR="0047645C" w:rsidRPr="0047645C" w:rsidRDefault="0047645C" w:rsidP="0047645C">
      <w:pPr>
        <w:spacing w:before="120"/>
        <w:jc w:val="both"/>
        <w:rPr>
          <w:rFonts w:ascii="Arial" w:hAnsi="Arial" w:cs="Arial"/>
          <w:sz w:val="22"/>
          <w:szCs w:val="22"/>
        </w:rPr>
      </w:pPr>
    </w:p>
    <w:p w14:paraId="0341E2D1" w14:textId="77777777" w:rsidR="0047645C" w:rsidRDefault="0047645C" w:rsidP="00590349">
      <w:pPr>
        <w:rPr>
          <w:rFonts w:ascii="Arial" w:hAnsi="Arial" w:cs="Arial"/>
          <w:sz w:val="22"/>
          <w:szCs w:val="22"/>
        </w:rPr>
      </w:pPr>
    </w:p>
    <w:p w14:paraId="27B22E3A" w14:textId="36C7B124" w:rsidR="0047645C" w:rsidRPr="0047645C" w:rsidRDefault="0047645C" w:rsidP="00590349"/>
    <w:p w14:paraId="269A9EBA" w14:textId="432A2ABF" w:rsidR="00933758" w:rsidRDefault="003F6CD3" w:rsidP="00590349">
      <w:pPr>
        <w:rPr>
          <w:lang w:val="en-US"/>
        </w:rPr>
      </w:pPr>
      <w:r>
        <w:rPr>
          <w:noProof/>
          <w:lang w:val="en-US"/>
        </w:rPr>
        <w:drawing>
          <wp:inline distT="0" distB="0" distL="0" distR="0" wp14:anchorId="43B6B48F" wp14:editId="0EE49F08">
            <wp:extent cx="5760720" cy="2976245"/>
            <wp:effectExtent l="0" t="0" r="5080" b="0"/>
            <wp:docPr id="1164619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9451" name="Picture 11646194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976245"/>
                    </a:xfrm>
                    <a:prstGeom prst="rect">
                      <a:avLst/>
                    </a:prstGeom>
                  </pic:spPr>
                </pic:pic>
              </a:graphicData>
            </a:graphic>
          </wp:inline>
        </w:drawing>
      </w:r>
    </w:p>
    <w:p w14:paraId="1F018449" w14:textId="77777777" w:rsidR="0047645C" w:rsidRDefault="0047645C" w:rsidP="00590349">
      <w:pPr>
        <w:rPr>
          <w:lang w:val="en-US"/>
        </w:rPr>
      </w:pPr>
    </w:p>
    <w:p w14:paraId="6843BBEF" w14:textId="77777777" w:rsidR="0047645C" w:rsidRDefault="0047645C" w:rsidP="00590349">
      <w:pPr>
        <w:rPr>
          <w:lang w:val="en-US"/>
        </w:rPr>
      </w:pPr>
    </w:p>
    <w:p w14:paraId="1D464724" w14:textId="77777777" w:rsidR="0047645C" w:rsidRDefault="0047645C" w:rsidP="00590349">
      <w:pPr>
        <w:rPr>
          <w:lang w:val="en-US"/>
        </w:rPr>
      </w:pPr>
    </w:p>
    <w:p w14:paraId="7A2AD5BE" w14:textId="77777777" w:rsidR="0047645C" w:rsidRDefault="0047645C" w:rsidP="00590349">
      <w:pPr>
        <w:rPr>
          <w:lang w:val="en-US"/>
        </w:rPr>
      </w:pPr>
    </w:p>
    <w:p w14:paraId="16CDD6F2" w14:textId="77777777" w:rsidR="0047645C" w:rsidRDefault="0047645C" w:rsidP="00590349">
      <w:pPr>
        <w:rPr>
          <w:lang w:val="en-US"/>
        </w:rPr>
      </w:pPr>
    </w:p>
    <w:p w14:paraId="48197B49" w14:textId="77777777" w:rsidR="0047645C" w:rsidRDefault="0047645C" w:rsidP="00590349">
      <w:pPr>
        <w:rPr>
          <w:lang w:val="en-US"/>
        </w:rPr>
      </w:pPr>
    </w:p>
    <w:p w14:paraId="2CAB032A" w14:textId="77777777" w:rsidR="0047645C" w:rsidRDefault="0047645C" w:rsidP="00590349">
      <w:pPr>
        <w:rPr>
          <w:lang w:val="en-US"/>
        </w:rPr>
      </w:pPr>
    </w:p>
    <w:p w14:paraId="54A9CEAC" w14:textId="77777777" w:rsidR="0047645C" w:rsidRDefault="0047645C" w:rsidP="00590349">
      <w:pPr>
        <w:rPr>
          <w:lang w:val="en-US"/>
        </w:rPr>
      </w:pPr>
    </w:p>
    <w:p w14:paraId="3EE501D2" w14:textId="77777777" w:rsidR="0047645C" w:rsidRDefault="0047645C" w:rsidP="00590349">
      <w:pPr>
        <w:rPr>
          <w:lang w:val="en-US"/>
        </w:rPr>
      </w:pPr>
    </w:p>
    <w:p w14:paraId="41441243" w14:textId="77777777" w:rsidR="0047645C" w:rsidRDefault="0047645C" w:rsidP="00590349">
      <w:pPr>
        <w:rPr>
          <w:lang w:val="en-US"/>
        </w:rPr>
      </w:pPr>
    </w:p>
    <w:p w14:paraId="47E71623" w14:textId="77777777" w:rsidR="0047645C" w:rsidRDefault="0047645C" w:rsidP="00590349">
      <w:pPr>
        <w:rPr>
          <w:lang w:val="en-US"/>
        </w:rPr>
      </w:pPr>
    </w:p>
    <w:p w14:paraId="1CE43560" w14:textId="77777777" w:rsidR="0047645C" w:rsidRDefault="0047645C" w:rsidP="00590349">
      <w:pPr>
        <w:rPr>
          <w:lang w:val="en-US"/>
        </w:rPr>
      </w:pPr>
    </w:p>
    <w:p w14:paraId="335DB180" w14:textId="77777777" w:rsidR="0047645C" w:rsidRDefault="0047645C" w:rsidP="00590349">
      <w:pPr>
        <w:rPr>
          <w:lang w:val="en-US"/>
        </w:rPr>
      </w:pPr>
    </w:p>
    <w:p w14:paraId="43C297F4" w14:textId="77777777" w:rsidR="0047645C" w:rsidRDefault="0047645C" w:rsidP="00590349">
      <w:pPr>
        <w:rPr>
          <w:lang w:val="en-US"/>
        </w:rPr>
      </w:pPr>
    </w:p>
    <w:p w14:paraId="57EFD2E8" w14:textId="77777777" w:rsidR="0047645C" w:rsidRDefault="0047645C" w:rsidP="00590349">
      <w:pPr>
        <w:rPr>
          <w:lang w:val="en-US"/>
        </w:rPr>
      </w:pPr>
    </w:p>
    <w:p w14:paraId="55BFEC91" w14:textId="77777777" w:rsidR="0047645C" w:rsidRDefault="0047645C" w:rsidP="00590349">
      <w:pPr>
        <w:rPr>
          <w:lang w:val="en-US"/>
        </w:rPr>
      </w:pPr>
    </w:p>
    <w:p w14:paraId="35CD7900" w14:textId="77777777" w:rsidR="0047645C" w:rsidRDefault="0047645C" w:rsidP="00590349">
      <w:pPr>
        <w:rPr>
          <w:lang w:val="en-US"/>
        </w:rPr>
      </w:pPr>
    </w:p>
    <w:p w14:paraId="576D8A3C" w14:textId="77777777" w:rsidR="00933758" w:rsidRDefault="00933758" w:rsidP="00590349">
      <w:pPr>
        <w:rPr>
          <w:lang w:val="en-US"/>
        </w:rPr>
      </w:pPr>
    </w:p>
    <w:p w14:paraId="41FAD829" w14:textId="322980A1" w:rsidR="00933758" w:rsidRDefault="00933758" w:rsidP="00933758">
      <w:pPr>
        <w:pStyle w:val="Heading1"/>
        <w:jc w:val="center"/>
        <w:rPr>
          <w:rFonts w:ascii="Arial" w:hAnsi="Arial" w:cs="Arial"/>
          <w:b/>
          <w:bCs/>
          <w:sz w:val="28"/>
          <w:szCs w:val="28"/>
          <w:lang w:val="en-GB"/>
        </w:rPr>
      </w:pPr>
      <w:r w:rsidRPr="00933758">
        <w:rPr>
          <w:rFonts w:ascii="Arial" w:hAnsi="Arial" w:cs="Arial"/>
          <w:b/>
          <w:bCs/>
          <w:sz w:val="28"/>
          <w:szCs w:val="28"/>
          <w:lang w:val="en-GB"/>
        </w:rPr>
        <w:lastRenderedPageBreak/>
        <w:t>Voluntary Application for Stakeholder Platform Membership</w:t>
      </w:r>
    </w:p>
    <w:p w14:paraId="7ED9346D" w14:textId="77777777" w:rsidR="00933758" w:rsidRDefault="00933758" w:rsidP="00933758">
      <w:pPr>
        <w:rPr>
          <w:lang w:val="en-GB"/>
        </w:rPr>
      </w:pPr>
    </w:p>
    <w:p w14:paraId="1CF90214" w14:textId="77777777" w:rsidR="00126B5B" w:rsidRDefault="00126B5B" w:rsidP="00933758">
      <w:pPr>
        <w:rPr>
          <w:lang w:val="en-GB"/>
        </w:rPr>
      </w:pPr>
    </w:p>
    <w:p w14:paraId="59A436EB" w14:textId="622EA2E3" w:rsidR="00126B5B" w:rsidRDefault="00126B5B" w:rsidP="00126B5B">
      <w:pPr>
        <w:pStyle w:val="Heading2"/>
        <w:spacing w:before="120" w:line="276" w:lineRule="auto"/>
        <w:jc w:val="both"/>
        <w:rPr>
          <w:rFonts w:ascii="Arial" w:hAnsi="Arial" w:cs="Arial"/>
          <w:color w:val="000000" w:themeColor="text1"/>
          <w:sz w:val="22"/>
          <w:szCs w:val="22"/>
          <w:lang w:val="en-US"/>
        </w:rPr>
      </w:pPr>
      <w:r w:rsidRPr="00126B5B">
        <w:rPr>
          <w:rFonts w:ascii="Arial" w:hAnsi="Arial" w:cs="Arial"/>
          <w:b/>
          <w:bCs/>
          <w:color w:val="000000" w:themeColor="text1"/>
          <w:sz w:val="22"/>
          <w:szCs w:val="22"/>
          <w:lang w:val="en-US"/>
        </w:rPr>
        <w:t>Google form for SHP candidates.</w:t>
      </w:r>
      <w:r>
        <w:rPr>
          <w:rFonts w:ascii="Arial" w:hAnsi="Arial" w:cs="Arial"/>
          <w:color w:val="000000" w:themeColor="text1"/>
          <w:sz w:val="22"/>
          <w:szCs w:val="22"/>
          <w:lang w:val="en-US"/>
        </w:rPr>
        <w:t xml:space="preserve"> </w:t>
      </w:r>
      <w:r w:rsidRPr="00126B5B">
        <w:rPr>
          <w:rFonts w:ascii="Arial" w:hAnsi="Arial" w:cs="Arial"/>
          <w:color w:val="000000" w:themeColor="text1"/>
          <w:sz w:val="22"/>
          <w:szCs w:val="22"/>
          <w:lang w:val="en-US"/>
        </w:rPr>
        <w:t xml:space="preserve">A </w:t>
      </w:r>
      <w:r w:rsidRPr="00126B5B">
        <w:rPr>
          <w:rFonts w:ascii="Arial" w:hAnsi="Arial" w:cs="Arial"/>
          <w:b/>
          <w:bCs/>
          <w:color w:val="000000" w:themeColor="text1"/>
          <w:sz w:val="22"/>
          <w:szCs w:val="22"/>
          <w:lang w:val="en-US"/>
        </w:rPr>
        <w:t>Google Form</w:t>
      </w:r>
      <w:r w:rsidRPr="00126B5B">
        <w:rPr>
          <w:rFonts w:ascii="Arial" w:hAnsi="Arial" w:cs="Arial"/>
          <w:color w:val="000000" w:themeColor="text1"/>
          <w:sz w:val="22"/>
          <w:szCs w:val="22"/>
          <w:lang w:val="en-US"/>
        </w:rPr>
        <w:t xml:space="preserve"> was created to share with interested stakeholders, allowing them to provide input, express their interests, and specify their preferences for participation. This form aims to streamline communication, gather valuable feedback, and ensure the platform aligns with stakeholders' needs and expectations.</w:t>
      </w:r>
    </w:p>
    <w:p w14:paraId="75BB9BBA" w14:textId="77777777" w:rsidR="00126B5B" w:rsidRDefault="00126B5B" w:rsidP="00126B5B">
      <w:pPr>
        <w:rPr>
          <w:lang w:val="en-US"/>
        </w:rPr>
      </w:pPr>
    </w:p>
    <w:p w14:paraId="213AEF48" w14:textId="2C3DA62B" w:rsidR="00126B5B" w:rsidRDefault="00126B5B" w:rsidP="00126B5B">
      <w:pPr>
        <w:rPr>
          <w:lang w:val="en-US"/>
        </w:rPr>
      </w:pPr>
      <w:r>
        <w:rPr>
          <w:lang w:val="en-US"/>
        </w:rPr>
        <w:t xml:space="preserve">The link for google form is: </w:t>
      </w:r>
      <w:hyperlink r:id="rId9" w:history="1">
        <w:r w:rsidRPr="00386A67">
          <w:rPr>
            <w:rStyle w:val="Hyperlink"/>
            <w:lang w:val="en-US"/>
          </w:rPr>
          <w:t>https://forms.gle/n3LRucQ14mEUADZG8</w:t>
        </w:r>
      </w:hyperlink>
    </w:p>
    <w:p w14:paraId="2962C291" w14:textId="77777777" w:rsidR="00126B5B" w:rsidRDefault="00126B5B" w:rsidP="00126B5B">
      <w:pPr>
        <w:rPr>
          <w:lang w:val="en-US"/>
        </w:rPr>
      </w:pPr>
    </w:p>
    <w:p w14:paraId="06ABD071" w14:textId="77777777" w:rsidR="00126B5B" w:rsidRDefault="00126B5B" w:rsidP="00126B5B">
      <w:pPr>
        <w:rPr>
          <w:lang w:val="en-US"/>
        </w:rPr>
      </w:pPr>
    </w:p>
    <w:p w14:paraId="5FC78B47" w14:textId="24FD53E6" w:rsidR="00126B5B" w:rsidRDefault="00126B5B" w:rsidP="00126B5B">
      <w:pPr>
        <w:jc w:val="both"/>
      </w:pPr>
      <w:r w:rsidRPr="00126B5B">
        <w:rPr>
          <w:b/>
          <w:bCs/>
          <w:lang w:val="en-US"/>
        </w:rPr>
        <w:t>Letter of Adhesion.</w:t>
      </w:r>
      <w:r>
        <w:rPr>
          <w:lang w:val="en-US"/>
        </w:rPr>
        <w:t xml:space="preserve"> </w:t>
      </w:r>
      <w:r w:rsidRPr="00126B5B">
        <w:t>A letter of adhesion has also been drafted to share with all interested organizations. This document formalizes their commitment to the initiative</w:t>
      </w:r>
      <w:r>
        <w:t xml:space="preserve"> and </w:t>
      </w:r>
      <w:r w:rsidRPr="00126B5B">
        <w:t>serves as an official means to solidify partnerships and ensure alignment with the project's goals and values.</w:t>
      </w:r>
    </w:p>
    <w:p w14:paraId="7DD33FA1" w14:textId="77777777" w:rsidR="00126B5B" w:rsidRDefault="00126B5B" w:rsidP="00126B5B">
      <w:pPr>
        <w:jc w:val="both"/>
      </w:pPr>
    </w:p>
    <w:p w14:paraId="3BBACF5C" w14:textId="77777777" w:rsidR="00126B5B" w:rsidRDefault="00126B5B" w:rsidP="00126B5B">
      <w:pPr>
        <w:jc w:val="both"/>
      </w:pPr>
    </w:p>
    <w:p w14:paraId="2B3EA573" w14:textId="77777777" w:rsidR="00126B5B" w:rsidRDefault="00126B5B" w:rsidP="00126B5B">
      <w:pPr>
        <w:jc w:val="both"/>
      </w:pPr>
    </w:p>
    <w:p w14:paraId="3AA99326" w14:textId="77777777" w:rsidR="00126B5B" w:rsidRDefault="00126B5B" w:rsidP="00126B5B">
      <w:pPr>
        <w:jc w:val="both"/>
      </w:pPr>
    </w:p>
    <w:p w14:paraId="1F661329" w14:textId="77777777" w:rsidR="00126B5B" w:rsidRDefault="00126B5B" w:rsidP="00126B5B">
      <w:pPr>
        <w:jc w:val="both"/>
      </w:pPr>
    </w:p>
    <w:p w14:paraId="6CE1D4AC" w14:textId="77777777" w:rsidR="00126B5B" w:rsidRDefault="00126B5B" w:rsidP="00126B5B">
      <w:pPr>
        <w:jc w:val="both"/>
      </w:pPr>
    </w:p>
    <w:p w14:paraId="1BD0BAFC" w14:textId="77777777" w:rsidR="00126B5B" w:rsidRDefault="00126B5B" w:rsidP="00126B5B">
      <w:pPr>
        <w:jc w:val="both"/>
      </w:pPr>
    </w:p>
    <w:p w14:paraId="30E4D57B" w14:textId="77777777" w:rsidR="00126B5B" w:rsidRDefault="00126B5B" w:rsidP="00126B5B">
      <w:pPr>
        <w:jc w:val="both"/>
      </w:pPr>
    </w:p>
    <w:p w14:paraId="5953F446" w14:textId="77777777" w:rsidR="00126B5B" w:rsidRDefault="00126B5B" w:rsidP="00126B5B">
      <w:pPr>
        <w:jc w:val="both"/>
      </w:pPr>
    </w:p>
    <w:p w14:paraId="15D79D3B" w14:textId="77777777" w:rsidR="00126B5B" w:rsidRDefault="00126B5B" w:rsidP="00126B5B">
      <w:pPr>
        <w:jc w:val="both"/>
      </w:pPr>
    </w:p>
    <w:p w14:paraId="1C814584" w14:textId="77777777" w:rsidR="00126B5B" w:rsidRDefault="00126B5B" w:rsidP="00126B5B">
      <w:pPr>
        <w:jc w:val="both"/>
      </w:pPr>
    </w:p>
    <w:p w14:paraId="194AD3B5" w14:textId="77777777" w:rsidR="00126B5B" w:rsidRDefault="00126B5B" w:rsidP="00126B5B">
      <w:pPr>
        <w:jc w:val="both"/>
      </w:pPr>
    </w:p>
    <w:p w14:paraId="69828E4D" w14:textId="77777777" w:rsidR="00126B5B" w:rsidRDefault="00126B5B" w:rsidP="00126B5B">
      <w:pPr>
        <w:jc w:val="both"/>
      </w:pPr>
    </w:p>
    <w:p w14:paraId="4019BAD4" w14:textId="77777777" w:rsidR="00126B5B" w:rsidRDefault="00126B5B" w:rsidP="00126B5B">
      <w:pPr>
        <w:jc w:val="both"/>
      </w:pPr>
    </w:p>
    <w:p w14:paraId="2FBE515D" w14:textId="77777777" w:rsidR="00126B5B" w:rsidRDefault="00126B5B" w:rsidP="00126B5B">
      <w:pPr>
        <w:jc w:val="both"/>
      </w:pPr>
    </w:p>
    <w:p w14:paraId="5B0A48A2" w14:textId="77777777" w:rsidR="00126B5B" w:rsidRDefault="00126B5B" w:rsidP="00126B5B">
      <w:pPr>
        <w:jc w:val="both"/>
      </w:pPr>
    </w:p>
    <w:p w14:paraId="44BE1E8D" w14:textId="77777777" w:rsidR="00126B5B" w:rsidRDefault="00126B5B" w:rsidP="00126B5B">
      <w:pPr>
        <w:jc w:val="both"/>
      </w:pPr>
    </w:p>
    <w:p w14:paraId="37F8614A" w14:textId="77777777" w:rsidR="00126B5B" w:rsidRDefault="00126B5B" w:rsidP="00126B5B">
      <w:pPr>
        <w:jc w:val="both"/>
      </w:pPr>
    </w:p>
    <w:p w14:paraId="2EF11CD7" w14:textId="77777777" w:rsidR="00126B5B" w:rsidRDefault="00126B5B" w:rsidP="00126B5B">
      <w:pPr>
        <w:jc w:val="both"/>
      </w:pPr>
    </w:p>
    <w:p w14:paraId="6A763114" w14:textId="77777777" w:rsidR="00126B5B" w:rsidRDefault="00126B5B" w:rsidP="00126B5B">
      <w:pPr>
        <w:jc w:val="both"/>
      </w:pPr>
    </w:p>
    <w:p w14:paraId="34079434" w14:textId="77777777" w:rsidR="00126B5B" w:rsidRDefault="00126B5B" w:rsidP="00126B5B">
      <w:pPr>
        <w:jc w:val="both"/>
      </w:pPr>
    </w:p>
    <w:p w14:paraId="5E37F6A0" w14:textId="77777777" w:rsidR="00126B5B" w:rsidRDefault="00126B5B" w:rsidP="00126B5B">
      <w:pPr>
        <w:jc w:val="both"/>
      </w:pPr>
    </w:p>
    <w:p w14:paraId="44139B29" w14:textId="77777777" w:rsidR="00126B5B" w:rsidRDefault="00126B5B" w:rsidP="00126B5B">
      <w:pPr>
        <w:jc w:val="both"/>
      </w:pPr>
    </w:p>
    <w:p w14:paraId="546EB8C7" w14:textId="77777777" w:rsidR="00126B5B" w:rsidRDefault="00126B5B" w:rsidP="00126B5B">
      <w:pPr>
        <w:jc w:val="both"/>
      </w:pPr>
    </w:p>
    <w:p w14:paraId="22B53D6F" w14:textId="77777777" w:rsidR="00126B5B" w:rsidRDefault="00126B5B" w:rsidP="00126B5B">
      <w:pPr>
        <w:jc w:val="both"/>
      </w:pPr>
    </w:p>
    <w:p w14:paraId="660E535C" w14:textId="77777777" w:rsidR="00126B5B" w:rsidRDefault="00126B5B" w:rsidP="00126B5B">
      <w:pPr>
        <w:jc w:val="both"/>
      </w:pPr>
    </w:p>
    <w:p w14:paraId="0C5C1CE8" w14:textId="77777777" w:rsidR="00126B5B" w:rsidRDefault="00126B5B" w:rsidP="00126B5B">
      <w:pPr>
        <w:jc w:val="both"/>
      </w:pPr>
    </w:p>
    <w:p w14:paraId="22DEBAD2" w14:textId="77777777" w:rsidR="00126B5B" w:rsidRDefault="00126B5B" w:rsidP="00126B5B">
      <w:pPr>
        <w:jc w:val="both"/>
      </w:pPr>
    </w:p>
    <w:p w14:paraId="62407407" w14:textId="77777777" w:rsidR="00FB751B" w:rsidRDefault="00FB751B" w:rsidP="00126B5B">
      <w:pPr>
        <w:jc w:val="both"/>
      </w:pPr>
    </w:p>
    <w:p w14:paraId="1F8D5115" w14:textId="77777777" w:rsidR="00126B5B" w:rsidRDefault="00126B5B" w:rsidP="00126B5B">
      <w:pPr>
        <w:jc w:val="both"/>
      </w:pPr>
    </w:p>
    <w:p w14:paraId="57B85E37" w14:textId="5C6BAD68" w:rsidR="00126B5B" w:rsidRDefault="00126B5B" w:rsidP="00126B5B">
      <w:pPr>
        <w:jc w:val="both"/>
        <w:rPr>
          <w:b/>
          <w:bCs/>
        </w:rPr>
      </w:pPr>
      <w:r w:rsidRPr="00126B5B">
        <w:rPr>
          <w:b/>
          <w:bCs/>
        </w:rPr>
        <w:lastRenderedPageBreak/>
        <w:t>Letter of Adhesion to the SureNexus Stakeholder Platfom</w:t>
      </w:r>
      <w:r>
        <w:rPr>
          <w:b/>
          <w:bCs/>
        </w:rPr>
        <w:t xml:space="preserve"> </w:t>
      </w:r>
    </w:p>
    <w:p w14:paraId="451070C9" w14:textId="77777777" w:rsidR="00126B5B" w:rsidRDefault="00126B5B" w:rsidP="00126B5B">
      <w:pPr>
        <w:jc w:val="both"/>
        <w:rPr>
          <w:b/>
          <w:bCs/>
        </w:rPr>
      </w:pPr>
    </w:p>
    <w:p w14:paraId="50422168" w14:textId="77777777" w:rsidR="00126B5B" w:rsidRDefault="00126B5B" w:rsidP="00126B5B">
      <w:pPr>
        <w:jc w:val="both"/>
        <w:rPr>
          <w:b/>
          <w:bCs/>
        </w:rPr>
      </w:pPr>
    </w:p>
    <w:sdt>
      <w:sdtPr>
        <w:rPr>
          <w:b/>
          <w:lang w:val="en-US"/>
        </w:rPr>
        <w:alias w:val="Insert logo"/>
        <w:tag w:val="Insert logo"/>
        <w:id w:val="949282118"/>
        <w:showingPlcHdr/>
        <w:picture/>
      </w:sdtPr>
      <w:sdtContent>
        <w:p w14:paraId="70A0B80C" w14:textId="77777777" w:rsidR="00126B5B" w:rsidRDefault="00126B5B" w:rsidP="00126B5B">
          <w:pPr>
            <w:spacing w:line="276" w:lineRule="auto"/>
            <w:rPr>
              <w:b/>
              <w:lang w:val="en-US"/>
            </w:rPr>
          </w:pPr>
          <w:r>
            <w:rPr>
              <w:b/>
              <w:noProof/>
              <w:lang w:val="es-ES" w:eastAsia="es-ES"/>
            </w:rPr>
            <w:drawing>
              <wp:inline distT="0" distB="0" distL="0" distR="0" wp14:anchorId="60C18A7C" wp14:editId="7BEAA710">
                <wp:extent cx="1653540" cy="930303"/>
                <wp:effectExtent l="0" t="0" r="381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211" cy="948122"/>
                        </a:xfrm>
                        <a:prstGeom prst="rect">
                          <a:avLst/>
                        </a:prstGeom>
                        <a:noFill/>
                        <a:ln>
                          <a:noFill/>
                        </a:ln>
                      </pic:spPr>
                    </pic:pic>
                  </a:graphicData>
                </a:graphic>
              </wp:inline>
            </w:drawing>
          </w:r>
        </w:p>
      </w:sdtContent>
    </w:sdt>
    <w:p w14:paraId="22390191" w14:textId="77777777" w:rsidR="00126B5B" w:rsidRDefault="00126B5B" w:rsidP="00126B5B">
      <w:pPr>
        <w:jc w:val="both"/>
        <w:rPr>
          <w:b/>
          <w:bCs/>
        </w:rPr>
      </w:pPr>
    </w:p>
    <w:p w14:paraId="4CB87EF0" w14:textId="46575B6C" w:rsidR="00126B5B" w:rsidRPr="00126B5B" w:rsidRDefault="00000000" w:rsidP="00126B5B">
      <w:pPr>
        <w:jc w:val="right"/>
        <w:rPr>
          <w:rFonts w:ascii="Arial" w:hAnsi="Arial" w:cs="Arial"/>
          <w:color w:val="808080" w:themeColor="background1" w:themeShade="80"/>
        </w:rPr>
      </w:pPr>
      <w:sdt>
        <w:sdtPr>
          <w:rPr>
            <w:b/>
            <w:lang w:val="en-US"/>
          </w:rPr>
          <w:id w:val="1596437839"/>
          <w:showingPlcHdr/>
        </w:sdtPr>
        <w:sdtContent>
          <w:r w:rsidR="00126B5B" w:rsidRPr="002C1ECF">
            <w:rPr>
              <w:rStyle w:val="PlaceholderText"/>
              <w:lang w:val="en-US"/>
            </w:rPr>
            <w:t>City</w:t>
          </w:r>
        </w:sdtContent>
      </w:sdt>
      <w:r w:rsidR="00126B5B" w:rsidRPr="009D05A8">
        <w:rPr>
          <w:b/>
          <w:lang w:val="en-US"/>
        </w:rPr>
        <w:t xml:space="preserve">, </w:t>
      </w:r>
      <w:sdt>
        <w:sdtPr>
          <w:rPr>
            <w:b/>
            <w:lang w:val="es-ES"/>
          </w:rPr>
          <w:id w:val="2092039084"/>
          <w:showingPlcHdr/>
          <w:date>
            <w:dateFormat w:val="dd/MM/yyyy"/>
            <w:lid w:val="es-ES"/>
            <w:storeMappedDataAs w:val="dateTime"/>
            <w:calendar w:val="gregorian"/>
          </w:date>
        </w:sdtPr>
        <w:sdtContent>
          <w:r w:rsidR="00126B5B" w:rsidRPr="002C1ECF">
            <w:rPr>
              <w:rStyle w:val="PlaceholderText"/>
              <w:lang w:val="en-US"/>
            </w:rPr>
            <w:t>Date</w:t>
          </w:r>
        </w:sdtContent>
      </w:sdt>
    </w:p>
    <w:p w14:paraId="2DED4203" w14:textId="77777777" w:rsidR="00126B5B" w:rsidRPr="00126B5B" w:rsidRDefault="00126B5B" w:rsidP="00126B5B">
      <w:pPr>
        <w:jc w:val="both"/>
        <w:rPr>
          <w:rFonts w:ascii="Arial" w:hAnsi="Arial" w:cs="Arial"/>
          <w:color w:val="808080" w:themeColor="background1" w:themeShade="80"/>
        </w:rPr>
      </w:pPr>
    </w:p>
    <w:sdt>
      <w:sdtPr>
        <w:rPr>
          <w:b/>
          <w:color w:val="808080"/>
          <w:lang w:val="es-ES"/>
        </w:rPr>
        <w:id w:val="1869405727"/>
        <w:showingPlcHdr/>
      </w:sdtPr>
      <w:sdtContent>
        <w:p w14:paraId="05748D7F" w14:textId="77777777" w:rsidR="00126B5B" w:rsidRPr="009D05A8" w:rsidRDefault="00126B5B" w:rsidP="00126B5B">
          <w:pPr>
            <w:spacing w:line="276" w:lineRule="auto"/>
            <w:rPr>
              <w:b/>
              <w:lang w:val="en-US"/>
            </w:rPr>
          </w:pPr>
          <w:r w:rsidRPr="002C1ECF">
            <w:rPr>
              <w:rStyle w:val="PlaceholderText"/>
              <w:lang w:val="en-US"/>
            </w:rPr>
            <w:t>Name of representative</w:t>
          </w:r>
        </w:p>
      </w:sdtContent>
    </w:sdt>
    <w:sdt>
      <w:sdtPr>
        <w:rPr>
          <w:b/>
          <w:color w:val="808080"/>
          <w:lang w:val="es-ES"/>
        </w:rPr>
        <w:id w:val="-1443603815"/>
        <w:showingPlcHdr/>
      </w:sdtPr>
      <w:sdtContent>
        <w:p w14:paraId="6364F057" w14:textId="77777777" w:rsidR="00126B5B" w:rsidRPr="004628CF" w:rsidRDefault="00126B5B" w:rsidP="00126B5B">
          <w:pPr>
            <w:spacing w:line="276" w:lineRule="auto"/>
            <w:rPr>
              <w:b/>
              <w:lang w:val="en-US"/>
            </w:rPr>
          </w:pPr>
          <w:r w:rsidRPr="002C1ECF">
            <w:rPr>
              <w:rStyle w:val="PlaceholderText"/>
              <w:lang w:val="en-US"/>
            </w:rPr>
            <w:t>Name of organization &amp; Role</w:t>
          </w:r>
        </w:p>
      </w:sdtContent>
    </w:sdt>
    <w:sdt>
      <w:sdtPr>
        <w:rPr>
          <w:b/>
          <w:color w:val="808080"/>
          <w:lang w:val="es-ES"/>
        </w:rPr>
        <w:id w:val="1781058509"/>
        <w:showingPlcHdr/>
      </w:sdtPr>
      <w:sdtContent>
        <w:p w14:paraId="32652414" w14:textId="77777777" w:rsidR="00126B5B" w:rsidRPr="009D05A8" w:rsidRDefault="00126B5B" w:rsidP="00126B5B">
          <w:pPr>
            <w:spacing w:line="276" w:lineRule="auto"/>
            <w:rPr>
              <w:b/>
              <w:lang w:val="en-US"/>
            </w:rPr>
          </w:pPr>
          <w:r w:rsidRPr="002C1ECF">
            <w:rPr>
              <w:rStyle w:val="PlaceholderText"/>
              <w:lang w:val="en-US"/>
            </w:rPr>
            <w:t>Address</w:t>
          </w:r>
        </w:p>
      </w:sdtContent>
    </w:sdt>
    <w:sdt>
      <w:sdtPr>
        <w:rPr>
          <w:b/>
          <w:color w:val="808080"/>
          <w:lang w:val="es-ES"/>
        </w:rPr>
        <w:id w:val="-1778479266"/>
        <w:showingPlcHdr/>
      </w:sdtPr>
      <w:sdtContent>
        <w:p w14:paraId="56D0476B" w14:textId="6D25F160" w:rsidR="00126B5B" w:rsidRDefault="00126B5B" w:rsidP="00126B5B">
          <w:pPr>
            <w:jc w:val="both"/>
            <w:rPr>
              <w:rFonts w:ascii="Arial" w:hAnsi="Arial" w:cs="Arial"/>
              <w:color w:val="808080" w:themeColor="background1" w:themeShade="80"/>
              <w:sz w:val="20"/>
              <w:szCs w:val="20"/>
            </w:rPr>
          </w:pPr>
          <w:r w:rsidRPr="002C1ECF">
            <w:rPr>
              <w:rStyle w:val="PlaceholderText"/>
              <w:lang w:val="en-US"/>
            </w:rPr>
            <w:t>Country</w:t>
          </w:r>
        </w:p>
      </w:sdtContent>
    </w:sdt>
    <w:p w14:paraId="0AA20A5F" w14:textId="77777777" w:rsidR="00126B5B" w:rsidRDefault="00126B5B" w:rsidP="00126B5B">
      <w:pPr>
        <w:jc w:val="both"/>
        <w:rPr>
          <w:rFonts w:ascii="Arial" w:hAnsi="Arial" w:cs="Arial"/>
          <w:color w:val="808080" w:themeColor="background1" w:themeShade="80"/>
          <w:sz w:val="20"/>
          <w:szCs w:val="20"/>
        </w:rPr>
      </w:pPr>
    </w:p>
    <w:p w14:paraId="2580ECA7" w14:textId="33C04173" w:rsidR="00126B5B" w:rsidRDefault="00126B5B" w:rsidP="00126B5B">
      <w:pPr>
        <w:jc w:val="both"/>
        <w:rPr>
          <w:rFonts w:ascii="Arial" w:hAnsi="Arial" w:cs="Arial"/>
          <w:color w:val="000000" w:themeColor="text1"/>
          <w:sz w:val="20"/>
          <w:szCs w:val="20"/>
        </w:rPr>
      </w:pPr>
      <w:r w:rsidRPr="00126B5B">
        <w:rPr>
          <w:rFonts w:ascii="Arial" w:hAnsi="Arial" w:cs="Arial"/>
          <w:color w:val="000000" w:themeColor="text1"/>
          <w:sz w:val="20"/>
          <w:szCs w:val="20"/>
        </w:rPr>
        <w:t>Subject : Voluntary Membership Application</w:t>
      </w:r>
    </w:p>
    <w:p w14:paraId="1B64A5C5" w14:textId="77777777" w:rsidR="00126B5B" w:rsidRDefault="00126B5B" w:rsidP="00126B5B">
      <w:pPr>
        <w:jc w:val="both"/>
        <w:rPr>
          <w:rFonts w:ascii="Arial" w:hAnsi="Arial" w:cs="Arial"/>
          <w:color w:val="000000" w:themeColor="text1"/>
          <w:sz w:val="20"/>
          <w:szCs w:val="20"/>
        </w:rPr>
      </w:pPr>
    </w:p>
    <w:p w14:paraId="7B3D3203" w14:textId="555B3B01" w:rsidR="00126B5B" w:rsidRPr="00126B5B" w:rsidRDefault="00126B5B" w:rsidP="00126B5B">
      <w:pPr>
        <w:spacing w:line="276" w:lineRule="auto"/>
        <w:rPr>
          <w:rFonts w:ascii="Arial" w:hAnsi="Arial" w:cs="Arial"/>
          <w:bCs/>
          <w:sz w:val="20"/>
          <w:szCs w:val="20"/>
          <w:lang w:val="en-GB"/>
        </w:rPr>
      </w:pPr>
      <w:r w:rsidRPr="00126B5B">
        <w:rPr>
          <w:rFonts w:ascii="Arial" w:hAnsi="Arial" w:cs="Arial"/>
          <w:sz w:val="20"/>
          <w:szCs w:val="20"/>
          <w:lang w:val="en-GB"/>
        </w:rPr>
        <w:t xml:space="preserve">With this letter, </w:t>
      </w:r>
      <w:sdt>
        <w:sdtPr>
          <w:rPr>
            <w:rFonts w:ascii="Arial" w:hAnsi="Arial" w:cs="Arial"/>
            <w:sz w:val="20"/>
            <w:szCs w:val="20"/>
            <w:lang w:val="en-GB"/>
          </w:rPr>
          <w:id w:val="-370763756"/>
          <w:showingPlcHdr/>
        </w:sdtPr>
        <w:sdtContent>
          <w:r w:rsidRPr="00126B5B">
            <w:rPr>
              <w:rStyle w:val="PlaceholderText"/>
              <w:rFonts w:ascii="Arial" w:hAnsi="Arial" w:cs="Arial"/>
              <w:sz w:val="20"/>
              <w:szCs w:val="20"/>
              <w:lang w:val="en-GB"/>
            </w:rPr>
            <w:t xml:space="preserve">Name of organization </w:t>
          </w:r>
        </w:sdtContent>
      </w:sdt>
      <w:r w:rsidRPr="00126B5B">
        <w:rPr>
          <w:rFonts w:ascii="Arial" w:hAnsi="Arial" w:cs="Arial"/>
          <w:sz w:val="20"/>
          <w:szCs w:val="20"/>
          <w:lang w:val="en-GB"/>
        </w:rPr>
        <w:t>certifies that it supports the project SURENEXUS submitted by the consortium coordinated by Universitat</w:t>
      </w:r>
      <w:r>
        <w:rPr>
          <w:rFonts w:ascii="Arial" w:hAnsi="Arial" w:cs="Arial"/>
          <w:sz w:val="20"/>
          <w:szCs w:val="20"/>
          <w:lang w:val="en-GB"/>
        </w:rPr>
        <w:t xml:space="preserve"> </w:t>
      </w:r>
      <w:r w:rsidRPr="00126B5B">
        <w:rPr>
          <w:rFonts w:ascii="Arial" w:hAnsi="Arial" w:cs="Arial"/>
          <w:sz w:val="20"/>
          <w:szCs w:val="20"/>
          <w:lang w:val="en-GB"/>
        </w:rPr>
        <w:t xml:space="preserve">Politècnica de Catalunya – UPC in response to the PRIMA-NEXUS 2021 call. </w:t>
      </w:r>
    </w:p>
    <w:p w14:paraId="75B489E2" w14:textId="77777777" w:rsidR="00126B5B" w:rsidRPr="00126B5B" w:rsidRDefault="00126B5B" w:rsidP="00126B5B">
      <w:pPr>
        <w:spacing w:line="276" w:lineRule="auto"/>
        <w:rPr>
          <w:rFonts w:ascii="Arial" w:hAnsi="Arial" w:cs="Arial"/>
          <w:sz w:val="20"/>
          <w:szCs w:val="20"/>
          <w:lang w:val="en-GB"/>
        </w:rPr>
      </w:pPr>
    </w:p>
    <w:p w14:paraId="2A1A996A" w14:textId="27F3883B" w:rsidR="00126B5B" w:rsidRPr="00126B5B" w:rsidRDefault="00000000" w:rsidP="00126B5B">
      <w:pPr>
        <w:spacing w:line="276" w:lineRule="auto"/>
        <w:rPr>
          <w:rFonts w:ascii="Arial" w:hAnsi="Arial" w:cs="Arial"/>
          <w:sz w:val="20"/>
          <w:szCs w:val="20"/>
          <w:lang w:val="en-GB"/>
        </w:rPr>
      </w:pPr>
      <w:sdt>
        <w:sdtPr>
          <w:rPr>
            <w:rFonts w:ascii="Arial" w:hAnsi="Arial" w:cs="Arial"/>
            <w:sz w:val="20"/>
            <w:szCs w:val="20"/>
            <w:lang w:val="en-GB"/>
          </w:rPr>
          <w:id w:val="-1028723339"/>
          <w:showingPlcHdr/>
        </w:sdtPr>
        <w:sdtContent>
          <w:r w:rsidR="00126B5B" w:rsidRPr="00126B5B">
            <w:rPr>
              <w:rStyle w:val="PlaceholderText"/>
              <w:rFonts w:ascii="Arial" w:hAnsi="Arial" w:cs="Arial"/>
              <w:sz w:val="20"/>
              <w:szCs w:val="20"/>
              <w:lang w:val="en-GB"/>
            </w:rPr>
            <w:t xml:space="preserve">Name of organization </w:t>
          </w:r>
        </w:sdtContent>
      </w:sdt>
      <w:r w:rsidR="00126B5B" w:rsidRPr="00126B5B">
        <w:rPr>
          <w:rFonts w:ascii="Arial" w:hAnsi="Arial" w:cs="Arial"/>
          <w:sz w:val="20"/>
          <w:szCs w:val="20"/>
          <w:lang w:val="en-GB"/>
        </w:rPr>
        <w:t xml:space="preserve">is willing to contribute as member of the stakeholder platform setup by the SURENEXUS project. In particular, </w:t>
      </w:r>
      <w:sdt>
        <w:sdtPr>
          <w:rPr>
            <w:rFonts w:ascii="Arial" w:hAnsi="Arial" w:cs="Arial"/>
            <w:sz w:val="20"/>
            <w:szCs w:val="20"/>
            <w:lang w:val="en-GB"/>
          </w:rPr>
          <w:id w:val="-1897735730"/>
          <w:showingPlcHdr/>
        </w:sdtPr>
        <w:sdtContent>
          <w:r w:rsidR="00126B5B" w:rsidRPr="00126B5B">
            <w:rPr>
              <w:rStyle w:val="PlaceholderText"/>
              <w:rFonts w:ascii="Arial" w:hAnsi="Arial" w:cs="Arial"/>
              <w:sz w:val="20"/>
              <w:szCs w:val="20"/>
              <w:lang w:val="en-GB"/>
            </w:rPr>
            <w:t xml:space="preserve">Name of organization </w:t>
          </w:r>
        </w:sdtContent>
      </w:sdt>
      <w:r w:rsidR="00126B5B" w:rsidRPr="00126B5B">
        <w:rPr>
          <w:rFonts w:ascii="Arial" w:hAnsi="Arial" w:cs="Arial"/>
          <w:sz w:val="20"/>
          <w:szCs w:val="20"/>
          <w:lang w:val="en-GB"/>
        </w:rPr>
        <w:t>agrees:</w:t>
      </w:r>
    </w:p>
    <w:p w14:paraId="597C4A27" w14:textId="77777777" w:rsidR="00126B5B" w:rsidRPr="00126B5B" w:rsidRDefault="00126B5B" w:rsidP="00126B5B">
      <w:pPr>
        <w:spacing w:line="276" w:lineRule="auto"/>
        <w:rPr>
          <w:rFonts w:ascii="Arial" w:hAnsi="Arial" w:cs="Arial"/>
          <w:sz w:val="20"/>
          <w:szCs w:val="20"/>
          <w:lang w:val="en-GB"/>
        </w:rPr>
      </w:pPr>
    </w:p>
    <w:sdt>
      <w:sdtPr>
        <w:rPr>
          <w:rFonts w:ascii="Arial" w:hAnsi="Arial" w:cs="Arial"/>
          <w:sz w:val="20"/>
          <w:szCs w:val="20"/>
          <w:lang w:val="en-GB"/>
        </w:rPr>
        <w:id w:val="-935585183"/>
        <w:showingPlcHdr/>
      </w:sdtPr>
      <w:sdtContent>
        <w:p w14:paraId="1035A16C" w14:textId="77777777" w:rsidR="00126B5B" w:rsidRPr="00126B5B" w:rsidRDefault="00126B5B" w:rsidP="00126B5B">
          <w:pPr>
            <w:spacing w:line="276" w:lineRule="auto"/>
            <w:rPr>
              <w:rStyle w:val="PlaceholderText"/>
              <w:rFonts w:ascii="Arial" w:hAnsi="Arial" w:cs="Arial"/>
              <w:sz w:val="20"/>
              <w:szCs w:val="20"/>
            </w:rPr>
          </w:pPr>
          <w:r w:rsidRPr="00126B5B">
            <w:rPr>
              <w:rStyle w:val="PlaceholderText"/>
              <w:rFonts w:ascii="Arial" w:hAnsi="Arial" w:cs="Arial"/>
              <w:sz w:val="20"/>
              <w:szCs w:val="20"/>
            </w:rPr>
            <w:t>Please keep the statements based on yout level of commitment</w:t>
          </w:r>
        </w:p>
        <w:p w14:paraId="747E6B3F"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Participating in the design of socio-ecological and technical systems (SETs).</w:t>
          </w:r>
        </w:p>
        <w:p w14:paraId="30E546E0"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Participate in the creation of SETs.</w:t>
          </w:r>
          <w:r w:rsidRPr="00126B5B">
            <w:rPr>
              <w:rFonts w:ascii="Arial" w:hAnsi="Arial" w:cs="Arial"/>
              <w:sz w:val="20"/>
              <w:szCs w:val="20"/>
              <w:lang w:val="en-GB"/>
            </w:rPr>
            <w:tab/>
          </w:r>
          <w:r w:rsidRPr="00126B5B">
            <w:rPr>
              <w:rFonts w:ascii="Arial" w:hAnsi="Arial" w:cs="Arial"/>
              <w:sz w:val="20"/>
              <w:szCs w:val="20"/>
              <w:lang w:val="en-GB"/>
            </w:rPr>
            <w:tab/>
          </w:r>
        </w:p>
        <w:p w14:paraId="66DCC3EF"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Testing the SETs developed within the project.</w:t>
          </w:r>
          <w:r w:rsidRPr="00126B5B">
            <w:rPr>
              <w:rFonts w:ascii="Arial" w:hAnsi="Arial" w:cs="Arial"/>
              <w:sz w:val="20"/>
              <w:szCs w:val="20"/>
              <w:lang w:val="en-GB"/>
            </w:rPr>
            <w:tab/>
          </w:r>
          <w:r w:rsidRPr="00126B5B">
            <w:rPr>
              <w:rFonts w:ascii="Arial" w:hAnsi="Arial" w:cs="Arial"/>
              <w:sz w:val="20"/>
              <w:szCs w:val="20"/>
              <w:lang w:val="en-GB"/>
            </w:rPr>
            <w:tab/>
          </w:r>
          <w:r w:rsidRPr="00126B5B">
            <w:rPr>
              <w:rFonts w:ascii="Arial" w:hAnsi="Arial" w:cs="Arial"/>
              <w:sz w:val="20"/>
              <w:szCs w:val="20"/>
              <w:lang w:val="en-GB"/>
            </w:rPr>
            <w:tab/>
          </w:r>
        </w:p>
        <w:p w14:paraId="3E558962"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Supporting the dissemination of project results and content.</w:t>
          </w:r>
        </w:p>
        <w:p w14:paraId="72843B1B"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Organising capacity building activities for local partners.</w:t>
          </w:r>
          <w:r w:rsidRPr="00126B5B">
            <w:rPr>
              <w:rFonts w:ascii="Arial" w:hAnsi="Arial" w:cs="Arial"/>
              <w:sz w:val="20"/>
              <w:szCs w:val="20"/>
              <w:lang w:val="en-GB"/>
            </w:rPr>
            <w:tab/>
          </w:r>
          <w:r w:rsidRPr="00126B5B">
            <w:rPr>
              <w:rFonts w:ascii="Arial" w:hAnsi="Arial" w:cs="Arial"/>
              <w:sz w:val="20"/>
              <w:szCs w:val="20"/>
              <w:lang w:val="en-GB"/>
            </w:rPr>
            <w:tab/>
          </w:r>
        </w:p>
        <w:p w14:paraId="55DC7816"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Provision of information and data for the project.</w:t>
          </w:r>
        </w:p>
        <w:p w14:paraId="05F7D8CF"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lang w:val="en-GB"/>
            </w:rPr>
            <w:t>Providing strategic advice and feedback on project activities.</w:t>
          </w:r>
        </w:p>
      </w:sdtContent>
    </w:sdt>
    <w:p w14:paraId="1045377F" w14:textId="77777777" w:rsidR="00126B5B" w:rsidRPr="00126B5B" w:rsidRDefault="00126B5B" w:rsidP="00126B5B">
      <w:pPr>
        <w:spacing w:line="276" w:lineRule="auto"/>
        <w:rPr>
          <w:rFonts w:ascii="Arial" w:hAnsi="Arial" w:cs="Arial"/>
          <w:sz w:val="20"/>
          <w:szCs w:val="20"/>
          <w:lang w:val="en-GB"/>
        </w:rPr>
      </w:pPr>
    </w:p>
    <w:p w14:paraId="4A6EC2C0" w14:textId="77777777" w:rsidR="00126B5B" w:rsidRPr="00126B5B" w:rsidRDefault="00126B5B" w:rsidP="00126B5B">
      <w:pPr>
        <w:spacing w:line="276" w:lineRule="auto"/>
        <w:rPr>
          <w:rFonts w:ascii="Arial" w:hAnsi="Arial" w:cs="Arial"/>
          <w:sz w:val="20"/>
          <w:szCs w:val="20"/>
          <w:lang w:val="en-GB"/>
        </w:rPr>
      </w:pPr>
      <w:r w:rsidRPr="00126B5B">
        <w:rPr>
          <w:rFonts w:ascii="Arial" w:hAnsi="Arial" w:cs="Arial"/>
          <w:sz w:val="20"/>
          <w:szCs w:val="20"/>
          <w:lang w:val="en-GB"/>
        </w:rPr>
        <w:t xml:space="preserve">Our contact person for technical correspondence will be </w:t>
      </w:r>
      <w:sdt>
        <w:sdtPr>
          <w:rPr>
            <w:rFonts w:ascii="Arial" w:hAnsi="Arial" w:cs="Arial"/>
            <w:sz w:val="20"/>
            <w:szCs w:val="20"/>
            <w:lang w:val="en-GB"/>
          </w:rPr>
          <w:id w:val="188577178"/>
          <w:showingPlcHdr/>
          <w:text/>
        </w:sdtPr>
        <w:sdtContent>
          <w:r w:rsidRPr="00126B5B">
            <w:rPr>
              <w:rStyle w:val="PlaceholderText"/>
              <w:rFonts w:ascii="Arial" w:hAnsi="Arial" w:cs="Arial"/>
              <w:sz w:val="20"/>
              <w:szCs w:val="20"/>
              <w:lang w:val="en-GB"/>
            </w:rPr>
            <w:t xml:space="preserve">Name of the focal point </w:t>
          </w:r>
        </w:sdtContent>
      </w:sdt>
      <w:r w:rsidRPr="00126B5B">
        <w:rPr>
          <w:rFonts w:ascii="Arial" w:hAnsi="Arial" w:cs="Arial"/>
          <w:sz w:val="20"/>
          <w:szCs w:val="20"/>
          <w:lang w:val="en-GB"/>
        </w:rPr>
        <w:t xml:space="preserve">, email: </w:t>
      </w:r>
      <w:sdt>
        <w:sdtPr>
          <w:rPr>
            <w:rFonts w:ascii="Arial" w:hAnsi="Arial" w:cs="Arial"/>
            <w:sz w:val="20"/>
            <w:szCs w:val="20"/>
            <w:lang w:val="en-GB"/>
          </w:rPr>
          <w:id w:val="1277982364"/>
          <w:showingPlcHdr/>
          <w:text/>
        </w:sdtPr>
        <w:sdtContent>
          <w:r w:rsidRPr="00126B5B">
            <w:rPr>
              <w:rStyle w:val="PlaceholderText"/>
              <w:rFonts w:ascii="Arial" w:hAnsi="Arial" w:cs="Arial"/>
              <w:sz w:val="20"/>
              <w:szCs w:val="20"/>
              <w:lang w:val="en-GB"/>
            </w:rPr>
            <w:t>Email address</w:t>
          </w:r>
        </w:sdtContent>
      </w:sdt>
      <w:r w:rsidRPr="00126B5B">
        <w:rPr>
          <w:rFonts w:ascii="Arial" w:hAnsi="Arial" w:cs="Arial"/>
          <w:sz w:val="20"/>
          <w:szCs w:val="20"/>
          <w:lang w:val="en-GB"/>
        </w:rPr>
        <w:t xml:space="preserve">, at this same address. </w:t>
      </w:r>
    </w:p>
    <w:p w14:paraId="163221C2" w14:textId="77777777" w:rsidR="00126B5B" w:rsidRPr="00126B5B" w:rsidRDefault="00126B5B" w:rsidP="00126B5B">
      <w:pPr>
        <w:spacing w:line="276" w:lineRule="auto"/>
        <w:rPr>
          <w:rFonts w:ascii="Arial" w:hAnsi="Arial" w:cs="Arial"/>
          <w:sz w:val="20"/>
          <w:szCs w:val="20"/>
          <w:lang w:val="en-GB"/>
        </w:rPr>
      </w:pPr>
    </w:p>
    <w:p w14:paraId="1C45D96F" w14:textId="77777777" w:rsidR="00126B5B" w:rsidRPr="00126B5B" w:rsidRDefault="00126B5B" w:rsidP="00126B5B">
      <w:pPr>
        <w:spacing w:line="276" w:lineRule="auto"/>
        <w:rPr>
          <w:rFonts w:ascii="Arial" w:hAnsi="Arial" w:cs="Arial"/>
          <w:sz w:val="20"/>
          <w:szCs w:val="20"/>
          <w:lang w:val="en-GB"/>
        </w:rPr>
      </w:pPr>
    </w:p>
    <w:p w14:paraId="3EB33584" w14:textId="77777777" w:rsidR="00126B5B" w:rsidRPr="00126B5B" w:rsidRDefault="00126B5B" w:rsidP="00126B5B">
      <w:pPr>
        <w:spacing w:line="276" w:lineRule="auto"/>
        <w:rPr>
          <w:rFonts w:ascii="Arial" w:hAnsi="Arial" w:cs="Arial"/>
          <w:sz w:val="20"/>
          <w:szCs w:val="20"/>
          <w:lang w:val="en-GB"/>
        </w:rPr>
      </w:pPr>
    </w:p>
    <w:sdt>
      <w:sdtPr>
        <w:rPr>
          <w:rFonts w:ascii="Arial" w:hAnsi="Arial" w:cs="Arial"/>
          <w:b/>
          <w:sz w:val="20"/>
          <w:szCs w:val="20"/>
          <w:lang w:val="en-US"/>
        </w:rPr>
        <w:id w:val="-74745605"/>
        <w:showingPlcHdr/>
        <w:picture/>
      </w:sdtPr>
      <w:sdtContent>
        <w:p w14:paraId="7C18D9A6" w14:textId="77777777" w:rsidR="00126B5B" w:rsidRPr="00126B5B" w:rsidRDefault="00126B5B" w:rsidP="00126B5B">
          <w:pPr>
            <w:spacing w:line="276" w:lineRule="auto"/>
            <w:rPr>
              <w:rFonts w:ascii="Arial" w:hAnsi="Arial" w:cs="Arial"/>
              <w:b/>
              <w:sz w:val="20"/>
              <w:szCs w:val="20"/>
              <w:lang w:val="en-US"/>
            </w:rPr>
          </w:pPr>
          <w:r w:rsidRPr="00126B5B">
            <w:rPr>
              <w:rFonts w:ascii="Arial" w:hAnsi="Arial" w:cs="Arial"/>
              <w:b/>
              <w:noProof/>
              <w:sz w:val="20"/>
              <w:szCs w:val="20"/>
              <w:lang w:val="es-ES" w:eastAsia="es-ES"/>
            </w:rPr>
            <w:drawing>
              <wp:inline distT="0" distB="0" distL="0" distR="0" wp14:anchorId="12CB08D5" wp14:editId="121E806A">
                <wp:extent cx="1908175" cy="69971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107" cy="708858"/>
                        </a:xfrm>
                        <a:prstGeom prst="rect">
                          <a:avLst/>
                        </a:prstGeom>
                        <a:noFill/>
                        <a:ln>
                          <a:noFill/>
                        </a:ln>
                      </pic:spPr>
                    </pic:pic>
                  </a:graphicData>
                </a:graphic>
              </wp:inline>
            </w:drawing>
          </w:r>
        </w:p>
      </w:sdtContent>
    </w:sdt>
    <w:p w14:paraId="6062A732" w14:textId="77777777" w:rsidR="00126B5B" w:rsidRPr="00126B5B" w:rsidRDefault="00000000" w:rsidP="00126B5B">
      <w:pPr>
        <w:spacing w:line="276" w:lineRule="auto"/>
        <w:rPr>
          <w:rFonts w:ascii="Arial" w:hAnsi="Arial" w:cs="Arial"/>
          <w:b/>
          <w:sz w:val="20"/>
          <w:szCs w:val="20"/>
          <w:lang w:val="en-US"/>
        </w:rPr>
      </w:pPr>
      <w:sdt>
        <w:sdtPr>
          <w:rPr>
            <w:rFonts w:ascii="Arial" w:hAnsi="Arial" w:cs="Arial"/>
            <w:b/>
            <w:sz w:val="20"/>
            <w:szCs w:val="20"/>
            <w:lang w:val="es-ES"/>
          </w:rPr>
          <w:id w:val="330338890"/>
          <w:showingPlcHdr/>
        </w:sdtPr>
        <w:sdtContent>
          <w:r w:rsidR="00126B5B" w:rsidRPr="00126B5B">
            <w:rPr>
              <w:rStyle w:val="PlaceholderText"/>
              <w:rFonts w:ascii="Arial" w:hAnsi="Arial" w:cs="Arial"/>
              <w:sz w:val="20"/>
              <w:szCs w:val="20"/>
            </w:rPr>
            <w:t>Name of representative and signature</w:t>
          </w:r>
        </w:sdtContent>
      </w:sdt>
    </w:p>
    <w:p w14:paraId="43B5069A" w14:textId="77777777" w:rsidR="00126B5B" w:rsidRPr="00126B5B" w:rsidRDefault="00000000" w:rsidP="00126B5B">
      <w:pPr>
        <w:spacing w:line="276" w:lineRule="auto"/>
        <w:rPr>
          <w:rFonts w:ascii="Arial" w:hAnsi="Arial" w:cs="Arial"/>
          <w:b/>
          <w:sz w:val="20"/>
          <w:szCs w:val="20"/>
          <w:lang w:val="en-US"/>
        </w:rPr>
      </w:pPr>
      <w:sdt>
        <w:sdtPr>
          <w:rPr>
            <w:rFonts w:ascii="Arial" w:hAnsi="Arial" w:cs="Arial"/>
            <w:b/>
            <w:color w:val="808080"/>
            <w:sz w:val="20"/>
            <w:szCs w:val="20"/>
            <w:lang w:val="es-ES"/>
          </w:rPr>
          <w:id w:val="-563421144"/>
          <w:showingPlcHdr/>
        </w:sdtPr>
        <w:sdtContent>
          <w:r w:rsidR="00126B5B" w:rsidRPr="00126B5B">
            <w:rPr>
              <w:rStyle w:val="PlaceholderText"/>
              <w:rFonts w:ascii="Arial" w:hAnsi="Arial" w:cs="Arial"/>
              <w:sz w:val="20"/>
              <w:szCs w:val="20"/>
            </w:rPr>
            <w:t>Role in the organization</w:t>
          </w:r>
        </w:sdtContent>
      </w:sdt>
    </w:p>
    <w:p w14:paraId="2D29C633" w14:textId="77777777" w:rsidR="00126B5B" w:rsidRPr="00126B5B" w:rsidRDefault="00126B5B" w:rsidP="00126B5B">
      <w:pPr>
        <w:jc w:val="both"/>
        <w:rPr>
          <w:rFonts w:ascii="Arial" w:hAnsi="Arial" w:cs="Arial"/>
          <w:color w:val="000000" w:themeColor="text1"/>
          <w:sz w:val="20"/>
          <w:szCs w:val="20"/>
        </w:rPr>
      </w:pPr>
    </w:p>
    <w:p w14:paraId="18A41756" w14:textId="77777777" w:rsidR="00126B5B" w:rsidRDefault="00126B5B" w:rsidP="00126B5B">
      <w:pPr>
        <w:rPr>
          <w:lang w:val="en-US"/>
        </w:rPr>
      </w:pPr>
    </w:p>
    <w:sectPr w:rsidR="00126B5B" w:rsidSect="007C72F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243D" w14:textId="77777777" w:rsidR="003C01B8" w:rsidRDefault="003C01B8" w:rsidP="00981327">
      <w:r>
        <w:separator/>
      </w:r>
    </w:p>
  </w:endnote>
  <w:endnote w:type="continuationSeparator" w:id="0">
    <w:p w14:paraId="4DC6C11F" w14:textId="77777777" w:rsidR="003C01B8" w:rsidRDefault="003C01B8" w:rsidP="0098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800856"/>
      <w:docPartObj>
        <w:docPartGallery w:val="Page Numbers (Bottom of Page)"/>
        <w:docPartUnique/>
      </w:docPartObj>
    </w:sdtPr>
    <w:sdtContent>
      <w:p w14:paraId="54FB9CC1" w14:textId="10380292" w:rsidR="00590349" w:rsidRDefault="00590349" w:rsidP="00386A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7DE0EE" w14:textId="77777777" w:rsidR="00590349" w:rsidRDefault="00590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910316"/>
      <w:docPartObj>
        <w:docPartGallery w:val="Page Numbers (Bottom of Page)"/>
        <w:docPartUnique/>
      </w:docPartObj>
    </w:sdtPr>
    <w:sdtContent>
      <w:p w14:paraId="1280A4DC" w14:textId="5969C4D8" w:rsidR="00590349" w:rsidRDefault="00590349" w:rsidP="00386A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FEF33D7" w14:textId="77777777" w:rsidR="00590349" w:rsidRDefault="00590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DA9B" w14:textId="77777777" w:rsidR="00F06CFD" w:rsidRDefault="00F0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5302" w14:textId="77777777" w:rsidR="003C01B8" w:rsidRDefault="003C01B8" w:rsidP="00981327">
      <w:r>
        <w:separator/>
      </w:r>
    </w:p>
  </w:footnote>
  <w:footnote w:type="continuationSeparator" w:id="0">
    <w:p w14:paraId="4D693086" w14:textId="77777777" w:rsidR="003C01B8" w:rsidRDefault="003C01B8" w:rsidP="0098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7B6E" w14:textId="77777777" w:rsidR="00F06CFD" w:rsidRDefault="00F06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587A" w14:textId="77777777" w:rsidR="00981327" w:rsidRDefault="00981327" w:rsidP="00981327">
    <w:pPr>
      <w:pStyle w:val="Header"/>
      <w:tabs>
        <w:tab w:val="clear" w:pos="4680"/>
        <w:tab w:val="clear" w:pos="9360"/>
        <w:tab w:val="left" w:pos="2550"/>
      </w:tabs>
    </w:pPr>
    <w:r>
      <w:tab/>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2291"/>
      <w:gridCol w:w="2316"/>
    </w:tblGrid>
    <w:tr w:rsidR="00981327" w14:paraId="44C87C9D" w14:textId="77777777" w:rsidTr="00B21981">
      <w:tc>
        <w:tcPr>
          <w:tcW w:w="4674" w:type="dxa"/>
          <w:vAlign w:val="center"/>
        </w:tcPr>
        <w:p w14:paraId="5A1104CE" w14:textId="4CC36744" w:rsidR="00981327" w:rsidRDefault="00981327" w:rsidP="00981327">
          <w:pPr>
            <w:pStyle w:val="Header"/>
            <w:rPr>
              <w:sz w:val="16"/>
              <w:szCs w:val="16"/>
            </w:rPr>
          </w:pPr>
          <w:r w:rsidRPr="00B77517">
            <w:rPr>
              <w:sz w:val="16"/>
              <w:szCs w:val="16"/>
            </w:rPr>
            <w:t xml:space="preserve">SureNexus </w:t>
          </w:r>
          <w:r>
            <w:rPr>
              <w:sz w:val="16"/>
              <w:szCs w:val="16"/>
            </w:rPr>
            <w:t>Stakeholder Platform Guidelines – v</w:t>
          </w:r>
          <w:r w:rsidR="00966016">
            <w:rPr>
              <w:sz w:val="16"/>
              <w:szCs w:val="16"/>
            </w:rPr>
            <w:t>4</w:t>
          </w:r>
          <w:r>
            <w:rPr>
              <w:sz w:val="16"/>
              <w:szCs w:val="16"/>
            </w:rPr>
            <w:t xml:space="preserve"> </w:t>
          </w:r>
          <w:r w:rsidR="00F06CFD">
            <w:rPr>
              <w:sz w:val="16"/>
              <w:szCs w:val="16"/>
            </w:rPr>
            <w:t>9</w:t>
          </w:r>
          <w:r>
            <w:rPr>
              <w:sz w:val="16"/>
              <w:szCs w:val="16"/>
            </w:rPr>
            <w:t>/</w:t>
          </w:r>
          <w:r w:rsidR="00F06CFD">
            <w:rPr>
              <w:sz w:val="16"/>
              <w:szCs w:val="16"/>
            </w:rPr>
            <w:t>02</w:t>
          </w:r>
          <w:r>
            <w:rPr>
              <w:sz w:val="16"/>
              <w:szCs w:val="16"/>
            </w:rPr>
            <w:t>/202</w:t>
          </w:r>
          <w:r w:rsidR="00F06CFD">
            <w:rPr>
              <w:sz w:val="16"/>
              <w:szCs w:val="16"/>
            </w:rPr>
            <w:t>5</w:t>
          </w:r>
        </w:p>
      </w:tc>
      <w:tc>
        <w:tcPr>
          <w:tcW w:w="2338" w:type="dxa"/>
          <w:vAlign w:val="center"/>
        </w:tcPr>
        <w:p w14:paraId="59F22D6C" w14:textId="77777777" w:rsidR="00981327" w:rsidRDefault="00981327" w:rsidP="00981327">
          <w:pPr>
            <w:pStyle w:val="Header"/>
            <w:jc w:val="center"/>
            <w:rPr>
              <w:sz w:val="16"/>
              <w:szCs w:val="16"/>
            </w:rPr>
          </w:pPr>
          <w:r w:rsidRPr="00981327">
            <w:rPr>
              <w:noProof/>
              <w:sz w:val="16"/>
              <w:szCs w:val="16"/>
            </w:rPr>
            <w:drawing>
              <wp:inline distT="0" distB="0" distL="0" distR="0" wp14:anchorId="5A616501" wp14:editId="656CCCA0">
                <wp:extent cx="825668" cy="368935"/>
                <wp:effectExtent l="0" t="0" r="0" b="0"/>
                <wp:docPr id="1406633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33586" name="Picture 1406633586"/>
                        <pic:cNvPicPr/>
                      </pic:nvPicPr>
                      <pic:blipFill rotWithShape="1">
                        <a:blip r:embed="rId1">
                          <a:extLst>
                            <a:ext uri="{28A0092B-C50C-407E-A947-70E740481C1C}">
                              <a14:useLocalDpi xmlns:a14="http://schemas.microsoft.com/office/drawing/2010/main" val="0"/>
                            </a:ext>
                          </a:extLst>
                        </a:blip>
                        <a:srcRect t="6130" b="16833"/>
                        <a:stretch/>
                      </pic:blipFill>
                      <pic:spPr bwMode="auto">
                        <a:xfrm>
                          <a:off x="0" y="0"/>
                          <a:ext cx="872648" cy="389927"/>
                        </a:xfrm>
                        <a:prstGeom prst="rect">
                          <a:avLst/>
                        </a:prstGeom>
                        <a:ln>
                          <a:noFill/>
                        </a:ln>
                        <a:extLst>
                          <a:ext uri="{53640926-AAD7-44D8-BBD7-CCE9431645EC}">
                            <a14:shadowObscured xmlns:a14="http://schemas.microsoft.com/office/drawing/2010/main"/>
                          </a:ext>
                        </a:extLst>
                      </pic:spPr>
                    </pic:pic>
                  </a:graphicData>
                </a:graphic>
              </wp:inline>
            </w:drawing>
          </w:r>
        </w:p>
      </w:tc>
      <w:tc>
        <w:tcPr>
          <w:tcW w:w="2338" w:type="dxa"/>
          <w:vAlign w:val="center"/>
        </w:tcPr>
        <w:p w14:paraId="3AC5793A" w14:textId="77777777" w:rsidR="00981327" w:rsidRDefault="00981327" w:rsidP="00981327">
          <w:pPr>
            <w:pStyle w:val="Header"/>
            <w:jc w:val="center"/>
            <w:rPr>
              <w:sz w:val="16"/>
              <w:szCs w:val="16"/>
            </w:rPr>
          </w:pPr>
          <w:r w:rsidRPr="00981327">
            <w:rPr>
              <w:noProof/>
              <w:sz w:val="16"/>
              <w:szCs w:val="16"/>
            </w:rPr>
            <w:drawing>
              <wp:inline distT="0" distB="0" distL="0" distR="0" wp14:anchorId="19F2FA3B" wp14:editId="197676B0">
                <wp:extent cx="1107987" cy="369329"/>
                <wp:effectExtent l="0" t="0" r="0" b="0"/>
                <wp:docPr id="142611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11333" name="Picture 1426111333"/>
                        <pic:cNvPicPr/>
                      </pic:nvPicPr>
                      <pic:blipFill>
                        <a:blip r:embed="rId2">
                          <a:extLst>
                            <a:ext uri="{28A0092B-C50C-407E-A947-70E740481C1C}">
                              <a14:useLocalDpi xmlns:a14="http://schemas.microsoft.com/office/drawing/2010/main" val="0"/>
                            </a:ext>
                          </a:extLst>
                        </a:blip>
                        <a:stretch>
                          <a:fillRect/>
                        </a:stretch>
                      </pic:blipFill>
                      <pic:spPr>
                        <a:xfrm>
                          <a:off x="0" y="0"/>
                          <a:ext cx="1233545" cy="411182"/>
                        </a:xfrm>
                        <a:prstGeom prst="rect">
                          <a:avLst/>
                        </a:prstGeom>
                      </pic:spPr>
                    </pic:pic>
                  </a:graphicData>
                </a:graphic>
              </wp:inline>
            </w:drawing>
          </w:r>
        </w:p>
      </w:tc>
    </w:tr>
  </w:tbl>
  <w:p w14:paraId="0CC888E8" w14:textId="277A44B3" w:rsidR="00981327" w:rsidRDefault="00981327" w:rsidP="00981327">
    <w:pPr>
      <w:pStyle w:val="Header"/>
      <w:tabs>
        <w:tab w:val="clear" w:pos="4680"/>
        <w:tab w:val="clear" w:pos="9360"/>
        <w:tab w:val="left" w:pos="25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3D4F" w14:textId="77777777" w:rsidR="00F06CFD" w:rsidRDefault="00F0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97"/>
    <w:multiLevelType w:val="multilevel"/>
    <w:tmpl w:val="1E421EA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0C6A83"/>
    <w:multiLevelType w:val="hybridMultilevel"/>
    <w:tmpl w:val="F9A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656B7"/>
    <w:multiLevelType w:val="hybridMultilevel"/>
    <w:tmpl w:val="F85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F5DC8"/>
    <w:multiLevelType w:val="hybridMultilevel"/>
    <w:tmpl w:val="02FE1162"/>
    <w:lvl w:ilvl="0" w:tplc="35D227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E70406"/>
    <w:multiLevelType w:val="hybridMultilevel"/>
    <w:tmpl w:val="F5FA0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8562B"/>
    <w:multiLevelType w:val="hybridMultilevel"/>
    <w:tmpl w:val="D6C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30E2E"/>
    <w:multiLevelType w:val="hybridMultilevel"/>
    <w:tmpl w:val="42C0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713C"/>
    <w:multiLevelType w:val="hybridMultilevel"/>
    <w:tmpl w:val="F5FA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B32"/>
    <w:multiLevelType w:val="multilevel"/>
    <w:tmpl w:val="4862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2869"/>
    <w:multiLevelType w:val="multilevel"/>
    <w:tmpl w:val="D6A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574EE"/>
    <w:multiLevelType w:val="multilevel"/>
    <w:tmpl w:val="2EF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99F"/>
    <w:multiLevelType w:val="multilevel"/>
    <w:tmpl w:val="6B8C5F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95E0E98"/>
    <w:multiLevelType w:val="hybridMultilevel"/>
    <w:tmpl w:val="F5FA0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E01BA"/>
    <w:multiLevelType w:val="multilevel"/>
    <w:tmpl w:val="B40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D57A0"/>
    <w:multiLevelType w:val="hybridMultilevel"/>
    <w:tmpl w:val="AA0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779E7"/>
    <w:multiLevelType w:val="multilevel"/>
    <w:tmpl w:val="1A50B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557B7"/>
    <w:multiLevelType w:val="multilevel"/>
    <w:tmpl w:val="AF3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4D649B"/>
    <w:multiLevelType w:val="hybridMultilevel"/>
    <w:tmpl w:val="9FB8D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27F0C"/>
    <w:multiLevelType w:val="multilevel"/>
    <w:tmpl w:val="C6EE11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9418CB"/>
    <w:multiLevelType w:val="hybridMultilevel"/>
    <w:tmpl w:val="F8B49402"/>
    <w:lvl w:ilvl="0" w:tplc="FFFFFFFF">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4A74C9"/>
    <w:multiLevelType w:val="multilevel"/>
    <w:tmpl w:val="28D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F22EC"/>
    <w:multiLevelType w:val="multilevel"/>
    <w:tmpl w:val="F1D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07B4B"/>
    <w:multiLevelType w:val="hybridMultilevel"/>
    <w:tmpl w:val="BF5A6A6C"/>
    <w:lvl w:ilvl="0" w:tplc="18D89A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21354B"/>
    <w:multiLevelType w:val="multilevel"/>
    <w:tmpl w:val="8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9153B"/>
    <w:multiLevelType w:val="hybridMultilevel"/>
    <w:tmpl w:val="56DE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93679">
    <w:abstractNumId w:val="15"/>
  </w:num>
  <w:num w:numId="2" w16cid:durableId="674572947">
    <w:abstractNumId w:val="16"/>
  </w:num>
  <w:num w:numId="3" w16cid:durableId="153567770">
    <w:abstractNumId w:val="13"/>
  </w:num>
  <w:num w:numId="4" w16cid:durableId="1440756732">
    <w:abstractNumId w:val="23"/>
  </w:num>
  <w:num w:numId="5" w16cid:durableId="1243833161">
    <w:abstractNumId w:val="11"/>
  </w:num>
  <w:num w:numId="6" w16cid:durableId="1562864185">
    <w:abstractNumId w:val="9"/>
  </w:num>
  <w:num w:numId="7" w16cid:durableId="1993023815">
    <w:abstractNumId w:val="21"/>
  </w:num>
  <w:num w:numId="8" w16cid:durableId="1727609908">
    <w:abstractNumId w:val="8"/>
  </w:num>
  <w:num w:numId="9" w16cid:durableId="2033073109">
    <w:abstractNumId w:val="22"/>
  </w:num>
  <w:num w:numId="10" w16cid:durableId="1306617167">
    <w:abstractNumId w:val="3"/>
  </w:num>
  <w:num w:numId="11" w16cid:durableId="1117601077">
    <w:abstractNumId w:val="0"/>
  </w:num>
  <w:num w:numId="12" w16cid:durableId="818613305">
    <w:abstractNumId w:val="6"/>
  </w:num>
  <w:num w:numId="13" w16cid:durableId="290717720">
    <w:abstractNumId w:val="18"/>
  </w:num>
  <w:num w:numId="14" w16cid:durableId="793794748">
    <w:abstractNumId w:val="5"/>
  </w:num>
  <w:num w:numId="15" w16cid:durableId="1560481265">
    <w:abstractNumId w:val="1"/>
  </w:num>
  <w:num w:numId="16" w16cid:durableId="1946111268">
    <w:abstractNumId w:val="7"/>
  </w:num>
  <w:num w:numId="17" w16cid:durableId="1963614953">
    <w:abstractNumId w:val="17"/>
  </w:num>
  <w:num w:numId="18" w16cid:durableId="940797615">
    <w:abstractNumId w:val="24"/>
  </w:num>
  <w:num w:numId="19" w16cid:durableId="526139219">
    <w:abstractNumId w:val="19"/>
  </w:num>
  <w:num w:numId="20" w16cid:durableId="1200322002">
    <w:abstractNumId w:val="20"/>
  </w:num>
  <w:num w:numId="21" w16cid:durableId="1995913511">
    <w:abstractNumId w:val="4"/>
  </w:num>
  <w:num w:numId="22" w16cid:durableId="583731544">
    <w:abstractNumId w:val="12"/>
  </w:num>
  <w:num w:numId="23" w16cid:durableId="1240478888">
    <w:abstractNumId w:val="10"/>
  </w:num>
  <w:num w:numId="24" w16cid:durableId="430275343">
    <w:abstractNumId w:val="14"/>
  </w:num>
  <w:num w:numId="25" w16cid:durableId="163147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E3"/>
    <w:rsid w:val="00035687"/>
    <w:rsid w:val="000507D2"/>
    <w:rsid w:val="00054CE3"/>
    <w:rsid w:val="00054FDD"/>
    <w:rsid w:val="00062628"/>
    <w:rsid w:val="00065F9D"/>
    <w:rsid w:val="0008409B"/>
    <w:rsid w:val="000936B6"/>
    <w:rsid w:val="000A51E9"/>
    <w:rsid w:val="000C5AEF"/>
    <w:rsid w:val="000C619E"/>
    <w:rsid w:val="00125F6B"/>
    <w:rsid w:val="00126B5B"/>
    <w:rsid w:val="00126F6C"/>
    <w:rsid w:val="00146CBE"/>
    <w:rsid w:val="001646D0"/>
    <w:rsid w:val="001736FB"/>
    <w:rsid w:val="00183738"/>
    <w:rsid w:val="001D7C8A"/>
    <w:rsid w:val="001F7E05"/>
    <w:rsid w:val="002040C4"/>
    <w:rsid w:val="00276DD9"/>
    <w:rsid w:val="002800E7"/>
    <w:rsid w:val="00284E67"/>
    <w:rsid w:val="002903D4"/>
    <w:rsid w:val="00294BC1"/>
    <w:rsid w:val="002D62AF"/>
    <w:rsid w:val="002D7F7B"/>
    <w:rsid w:val="00307811"/>
    <w:rsid w:val="00316757"/>
    <w:rsid w:val="003324D5"/>
    <w:rsid w:val="003452F1"/>
    <w:rsid w:val="003844A3"/>
    <w:rsid w:val="003B1002"/>
    <w:rsid w:val="003C01B8"/>
    <w:rsid w:val="003F6CD3"/>
    <w:rsid w:val="00402ECD"/>
    <w:rsid w:val="004069CF"/>
    <w:rsid w:val="00411983"/>
    <w:rsid w:val="00414471"/>
    <w:rsid w:val="004315D7"/>
    <w:rsid w:val="004527D5"/>
    <w:rsid w:val="0047508B"/>
    <w:rsid w:val="0047645C"/>
    <w:rsid w:val="00477879"/>
    <w:rsid w:val="004875BF"/>
    <w:rsid w:val="004A2622"/>
    <w:rsid w:val="004A7F35"/>
    <w:rsid w:val="004D21CB"/>
    <w:rsid w:val="004D54B7"/>
    <w:rsid w:val="00506F15"/>
    <w:rsid w:val="00540A42"/>
    <w:rsid w:val="0055405B"/>
    <w:rsid w:val="00574C19"/>
    <w:rsid w:val="00590349"/>
    <w:rsid w:val="005C16C9"/>
    <w:rsid w:val="005F2A2C"/>
    <w:rsid w:val="00661B4E"/>
    <w:rsid w:val="00681F06"/>
    <w:rsid w:val="00693BD1"/>
    <w:rsid w:val="006D6DDC"/>
    <w:rsid w:val="006E0FB4"/>
    <w:rsid w:val="006E575A"/>
    <w:rsid w:val="00703F6A"/>
    <w:rsid w:val="007632A2"/>
    <w:rsid w:val="00797DE4"/>
    <w:rsid w:val="007C72FC"/>
    <w:rsid w:val="007C7869"/>
    <w:rsid w:val="007D6714"/>
    <w:rsid w:val="007F5D39"/>
    <w:rsid w:val="007F6673"/>
    <w:rsid w:val="00822898"/>
    <w:rsid w:val="00826B1C"/>
    <w:rsid w:val="0086590F"/>
    <w:rsid w:val="00874D87"/>
    <w:rsid w:val="00884E2F"/>
    <w:rsid w:val="0088514D"/>
    <w:rsid w:val="008A6E04"/>
    <w:rsid w:val="008C6149"/>
    <w:rsid w:val="00912F61"/>
    <w:rsid w:val="009130B5"/>
    <w:rsid w:val="009240FA"/>
    <w:rsid w:val="00933758"/>
    <w:rsid w:val="00940ECD"/>
    <w:rsid w:val="00960C37"/>
    <w:rsid w:val="00961691"/>
    <w:rsid w:val="00963F8E"/>
    <w:rsid w:val="00966016"/>
    <w:rsid w:val="00971186"/>
    <w:rsid w:val="00981327"/>
    <w:rsid w:val="009B7FD6"/>
    <w:rsid w:val="009D301F"/>
    <w:rsid w:val="00A00FEE"/>
    <w:rsid w:val="00A0139E"/>
    <w:rsid w:val="00A62DC3"/>
    <w:rsid w:val="00A67E10"/>
    <w:rsid w:val="00A71CF5"/>
    <w:rsid w:val="00AB47BE"/>
    <w:rsid w:val="00AB4F56"/>
    <w:rsid w:val="00AC28A9"/>
    <w:rsid w:val="00B00793"/>
    <w:rsid w:val="00B252E9"/>
    <w:rsid w:val="00B3242A"/>
    <w:rsid w:val="00B96D6D"/>
    <w:rsid w:val="00BF4105"/>
    <w:rsid w:val="00C05457"/>
    <w:rsid w:val="00C1429C"/>
    <w:rsid w:val="00C17148"/>
    <w:rsid w:val="00C64CEA"/>
    <w:rsid w:val="00C716EB"/>
    <w:rsid w:val="00C82C9F"/>
    <w:rsid w:val="00C85177"/>
    <w:rsid w:val="00C919D5"/>
    <w:rsid w:val="00CF5132"/>
    <w:rsid w:val="00D212B0"/>
    <w:rsid w:val="00D531C2"/>
    <w:rsid w:val="00D66FF8"/>
    <w:rsid w:val="00D726C2"/>
    <w:rsid w:val="00D77EE3"/>
    <w:rsid w:val="00D86C7C"/>
    <w:rsid w:val="00DD024E"/>
    <w:rsid w:val="00E01681"/>
    <w:rsid w:val="00E17A62"/>
    <w:rsid w:val="00E322CE"/>
    <w:rsid w:val="00E372F2"/>
    <w:rsid w:val="00E547F6"/>
    <w:rsid w:val="00E6316C"/>
    <w:rsid w:val="00E64BC8"/>
    <w:rsid w:val="00E77A92"/>
    <w:rsid w:val="00E803B9"/>
    <w:rsid w:val="00E9368A"/>
    <w:rsid w:val="00E9738C"/>
    <w:rsid w:val="00EB2AED"/>
    <w:rsid w:val="00EC6599"/>
    <w:rsid w:val="00ED2DD6"/>
    <w:rsid w:val="00EE2343"/>
    <w:rsid w:val="00EE3247"/>
    <w:rsid w:val="00EE47C3"/>
    <w:rsid w:val="00EE5795"/>
    <w:rsid w:val="00F015F2"/>
    <w:rsid w:val="00F06CFD"/>
    <w:rsid w:val="00F07BB7"/>
    <w:rsid w:val="00F620B0"/>
    <w:rsid w:val="00F918CC"/>
    <w:rsid w:val="00FB3A86"/>
    <w:rsid w:val="00FB751B"/>
    <w:rsid w:val="00FF28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3AE1"/>
  <w15:docId w15:val="{A1C63D7D-B605-4BF0-AE15-D7FE4D14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4E"/>
  </w:style>
  <w:style w:type="paragraph" w:styleId="Heading1">
    <w:name w:val="heading 1"/>
    <w:basedOn w:val="Normal"/>
    <w:next w:val="Normal"/>
    <w:link w:val="Heading1Char"/>
    <w:uiPriority w:val="9"/>
    <w:qFormat/>
    <w:rsid w:val="00885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07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7EE3"/>
    <w:rPr>
      <w:b/>
      <w:bCs/>
    </w:rPr>
  </w:style>
  <w:style w:type="character" w:customStyle="1" w:styleId="apple-converted-space">
    <w:name w:val="apple-converted-space"/>
    <w:basedOn w:val="DefaultParagraphFont"/>
    <w:rsid w:val="00E547F6"/>
  </w:style>
  <w:style w:type="paragraph" w:styleId="NormalWeb">
    <w:name w:val="Normal (Web)"/>
    <w:basedOn w:val="Normal"/>
    <w:uiPriority w:val="99"/>
    <w:unhideWhenUsed/>
    <w:rsid w:val="002800E7"/>
    <w:pPr>
      <w:spacing w:before="100" w:beforeAutospacing="1" w:after="100" w:afterAutospacing="1"/>
    </w:pPr>
    <w:rPr>
      <w:rFonts w:ascii="Times New Roman" w:eastAsia="Times New Roman" w:hAnsi="Times New Roman" w:cs="Times New Roman"/>
      <w:lang w:eastAsia="fr-FR"/>
    </w:rPr>
  </w:style>
  <w:style w:type="paragraph" w:styleId="ListParagraph">
    <w:name w:val="List Paragraph"/>
    <w:basedOn w:val="Normal"/>
    <w:uiPriority w:val="34"/>
    <w:qFormat/>
    <w:rsid w:val="004069CF"/>
    <w:pPr>
      <w:ind w:left="720"/>
      <w:contextualSpacing/>
    </w:pPr>
  </w:style>
  <w:style w:type="paragraph" w:styleId="Revision">
    <w:name w:val="Revision"/>
    <w:hidden/>
    <w:uiPriority w:val="99"/>
    <w:semiHidden/>
    <w:rsid w:val="005C16C9"/>
  </w:style>
  <w:style w:type="table" w:styleId="TableGrid">
    <w:name w:val="Table Grid"/>
    <w:basedOn w:val="TableNormal"/>
    <w:uiPriority w:val="39"/>
    <w:rsid w:val="004A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242A"/>
    <w:rPr>
      <w:sz w:val="16"/>
      <w:szCs w:val="16"/>
    </w:rPr>
  </w:style>
  <w:style w:type="paragraph" w:styleId="CommentText">
    <w:name w:val="annotation text"/>
    <w:basedOn w:val="Normal"/>
    <w:link w:val="CommentTextChar"/>
    <w:uiPriority w:val="99"/>
    <w:unhideWhenUsed/>
    <w:rsid w:val="00B3242A"/>
    <w:rPr>
      <w:sz w:val="20"/>
      <w:szCs w:val="20"/>
    </w:rPr>
  </w:style>
  <w:style w:type="character" w:customStyle="1" w:styleId="CommentTextChar">
    <w:name w:val="Comment Text Char"/>
    <w:basedOn w:val="DefaultParagraphFont"/>
    <w:link w:val="CommentText"/>
    <w:uiPriority w:val="99"/>
    <w:rsid w:val="00B3242A"/>
    <w:rPr>
      <w:sz w:val="20"/>
      <w:szCs w:val="20"/>
    </w:rPr>
  </w:style>
  <w:style w:type="paragraph" w:styleId="CommentSubject">
    <w:name w:val="annotation subject"/>
    <w:basedOn w:val="CommentText"/>
    <w:next w:val="CommentText"/>
    <w:link w:val="CommentSubjectChar"/>
    <w:uiPriority w:val="99"/>
    <w:semiHidden/>
    <w:unhideWhenUsed/>
    <w:rsid w:val="00B3242A"/>
    <w:rPr>
      <w:b/>
      <w:bCs/>
    </w:rPr>
  </w:style>
  <w:style w:type="character" w:customStyle="1" w:styleId="CommentSubjectChar">
    <w:name w:val="Comment Subject Char"/>
    <w:basedOn w:val="CommentTextChar"/>
    <w:link w:val="CommentSubject"/>
    <w:uiPriority w:val="99"/>
    <w:semiHidden/>
    <w:rsid w:val="00B3242A"/>
    <w:rPr>
      <w:b/>
      <w:bCs/>
      <w:sz w:val="20"/>
      <w:szCs w:val="20"/>
    </w:rPr>
  </w:style>
  <w:style w:type="paragraph" w:styleId="BalloonText">
    <w:name w:val="Balloon Text"/>
    <w:basedOn w:val="Normal"/>
    <w:link w:val="BalloonTextChar"/>
    <w:uiPriority w:val="99"/>
    <w:semiHidden/>
    <w:unhideWhenUsed/>
    <w:rsid w:val="000C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9E"/>
    <w:rPr>
      <w:rFonts w:ascii="Segoe UI" w:hAnsi="Segoe UI" w:cs="Segoe UI"/>
      <w:sz w:val="18"/>
      <w:szCs w:val="18"/>
    </w:rPr>
  </w:style>
  <w:style w:type="paragraph" w:styleId="Title">
    <w:name w:val="Title"/>
    <w:basedOn w:val="Normal"/>
    <w:next w:val="Normal"/>
    <w:link w:val="TitleChar"/>
    <w:uiPriority w:val="10"/>
    <w:qFormat/>
    <w:rsid w:val="008851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1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51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7D6714"/>
    <w:rPr>
      <w:color w:val="808080"/>
    </w:rPr>
  </w:style>
  <w:style w:type="character" w:customStyle="1" w:styleId="Heading2Char">
    <w:name w:val="Heading 2 Char"/>
    <w:basedOn w:val="DefaultParagraphFont"/>
    <w:link w:val="Heading2"/>
    <w:uiPriority w:val="9"/>
    <w:rsid w:val="00B0079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81327"/>
    <w:pPr>
      <w:tabs>
        <w:tab w:val="center" w:pos="4680"/>
        <w:tab w:val="right" w:pos="9360"/>
      </w:tabs>
    </w:pPr>
  </w:style>
  <w:style w:type="character" w:customStyle="1" w:styleId="HeaderChar">
    <w:name w:val="Header Char"/>
    <w:basedOn w:val="DefaultParagraphFont"/>
    <w:link w:val="Header"/>
    <w:uiPriority w:val="99"/>
    <w:rsid w:val="00981327"/>
  </w:style>
  <w:style w:type="paragraph" w:styleId="Footer">
    <w:name w:val="footer"/>
    <w:basedOn w:val="Normal"/>
    <w:link w:val="FooterChar"/>
    <w:uiPriority w:val="99"/>
    <w:unhideWhenUsed/>
    <w:rsid w:val="00981327"/>
    <w:pPr>
      <w:tabs>
        <w:tab w:val="center" w:pos="4680"/>
        <w:tab w:val="right" w:pos="9360"/>
      </w:tabs>
    </w:pPr>
  </w:style>
  <w:style w:type="character" w:customStyle="1" w:styleId="FooterChar">
    <w:name w:val="Footer Char"/>
    <w:basedOn w:val="DefaultParagraphFont"/>
    <w:link w:val="Footer"/>
    <w:uiPriority w:val="99"/>
    <w:rsid w:val="00981327"/>
  </w:style>
  <w:style w:type="character" w:styleId="PageNumber">
    <w:name w:val="page number"/>
    <w:basedOn w:val="DefaultParagraphFont"/>
    <w:uiPriority w:val="99"/>
    <w:semiHidden/>
    <w:unhideWhenUsed/>
    <w:rsid w:val="00590349"/>
  </w:style>
  <w:style w:type="character" w:styleId="Hyperlink">
    <w:name w:val="Hyperlink"/>
    <w:basedOn w:val="DefaultParagraphFont"/>
    <w:uiPriority w:val="99"/>
    <w:unhideWhenUsed/>
    <w:rsid w:val="00126B5B"/>
    <w:rPr>
      <w:color w:val="0563C1" w:themeColor="hyperlink"/>
      <w:u w:val="single"/>
    </w:rPr>
  </w:style>
  <w:style w:type="character" w:styleId="UnresolvedMention">
    <w:name w:val="Unresolved Mention"/>
    <w:basedOn w:val="DefaultParagraphFont"/>
    <w:uiPriority w:val="99"/>
    <w:semiHidden/>
    <w:unhideWhenUsed/>
    <w:rsid w:val="00126B5B"/>
    <w:rPr>
      <w:color w:val="605E5C"/>
      <w:shd w:val="clear" w:color="auto" w:fill="E1DFDD"/>
    </w:rPr>
  </w:style>
  <w:style w:type="character" w:styleId="FollowedHyperlink">
    <w:name w:val="FollowedHyperlink"/>
    <w:basedOn w:val="DefaultParagraphFont"/>
    <w:uiPriority w:val="99"/>
    <w:semiHidden/>
    <w:unhideWhenUsed/>
    <w:rsid w:val="00C05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900">
      <w:bodyDiv w:val="1"/>
      <w:marLeft w:val="0"/>
      <w:marRight w:val="0"/>
      <w:marTop w:val="0"/>
      <w:marBottom w:val="0"/>
      <w:divBdr>
        <w:top w:val="none" w:sz="0" w:space="0" w:color="auto"/>
        <w:left w:val="none" w:sz="0" w:space="0" w:color="auto"/>
        <w:bottom w:val="none" w:sz="0" w:space="0" w:color="auto"/>
        <w:right w:val="none" w:sz="0" w:space="0" w:color="auto"/>
      </w:divBdr>
    </w:div>
    <w:div w:id="166991733">
      <w:bodyDiv w:val="1"/>
      <w:marLeft w:val="0"/>
      <w:marRight w:val="0"/>
      <w:marTop w:val="0"/>
      <w:marBottom w:val="0"/>
      <w:divBdr>
        <w:top w:val="none" w:sz="0" w:space="0" w:color="auto"/>
        <w:left w:val="none" w:sz="0" w:space="0" w:color="auto"/>
        <w:bottom w:val="none" w:sz="0" w:space="0" w:color="auto"/>
        <w:right w:val="none" w:sz="0" w:space="0" w:color="auto"/>
      </w:divBdr>
      <w:divsChild>
        <w:div w:id="839582880">
          <w:marLeft w:val="0"/>
          <w:marRight w:val="0"/>
          <w:marTop w:val="0"/>
          <w:marBottom w:val="0"/>
          <w:divBdr>
            <w:top w:val="none" w:sz="0" w:space="0" w:color="auto"/>
            <w:left w:val="none" w:sz="0" w:space="0" w:color="auto"/>
            <w:bottom w:val="none" w:sz="0" w:space="0" w:color="auto"/>
            <w:right w:val="none" w:sz="0" w:space="0" w:color="auto"/>
          </w:divBdr>
          <w:divsChild>
            <w:div w:id="1642999139">
              <w:marLeft w:val="0"/>
              <w:marRight w:val="0"/>
              <w:marTop w:val="0"/>
              <w:marBottom w:val="0"/>
              <w:divBdr>
                <w:top w:val="none" w:sz="0" w:space="0" w:color="auto"/>
                <w:left w:val="none" w:sz="0" w:space="0" w:color="auto"/>
                <w:bottom w:val="none" w:sz="0" w:space="0" w:color="auto"/>
                <w:right w:val="none" w:sz="0" w:space="0" w:color="auto"/>
              </w:divBdr>
              <w:divsChild>
                <w:div w:id="122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455">
      <w:bodyDiv w:val="1"/>
      <w:marLeft w:val="0"/>
      <w:marRight w:val="0"/>
      <w:marTop w:val="0"/>
      <w:marBottom w:val="0"/>
      <w:divBdr>
        <w:top w:val="none" w:sz="0" w:space="0" w:color="auto"/>
        <w:left w:val="none" w:sz="0" w:space="0" w:color="auto"/>
        <w:bottom w:val="none" w:sz="0" w:space="0" w:color="auto"/>
        <w:right w:val="none" w:sz="0" w:space="0" w:color="auto"/>
      </w:divBdr>
    </w:div>
    <w:div w:id="202182387">
      <w:bodyDiv w:val="1"/>
      <w:marLeft w:val="0"/>
      <w:marRight w:val="0"/>
      <w:marTop w:val="0"/>
      <w:marBottom w:val="0"/>
      <w:divBdr>
        <w:top w:val="none" w:sz="0" w:space="0" w:color="auto"/>
        <w:left w:val="none" w:sz="0" w:space="0" w:color="auto"/>
        <w:bottom w:val="none" w:sz="0" w:space="0" w:color="auto"/>
        <w:right w:val="none" w:sz="0" w:space="0" w:color="auto"/>
      </w:divBdr>
      <w:divsChild>
        <w:div w:id="1264610178">
          <w:marLeft w:val="0"/>
          <w:marRight w:val="0"/>
          <w:marTop w:val="0"/>
          <w:marBottom w:val="0"/>
          <w:divBdr>
            <w:top w:val="none" w:sz="0" w:space="0" w:color="auto"/>
            <w:left w:val="none" w:sz="0" w:space="0" w:color="auto"/>
            <w:bottom w:val="none" w:sz="0" w:space="0" w:color="auto"/>
            <w:right w:val="none" w:sz="0" w:space="0" w:color="auto"/>
          </w:divBdr>
          <w:divsChild>
            <w:div w:id="1357001029">
              <w:marLeft w:val="0"/>
              <w:marRight w:val="0"/>
              <w:marTop w:val="0"/>
              <w:marBottom w:val="0"/>
              <w:divBdr>
                <w:top w:val="none" w:sz="0" w:space="0" w:color="auto"/>
                <w:left w:val="none" w:sz="0" w:space="0" w:color="auto"/>
                <w:bottom w:val="none" w:sz="0" w:space="0" w:color="auto"/>
                <w:right w:val="none" w:sz="0" w:space="0" w:color="auto"/>
              </w:divBdr>
              <w:divsChild>
                <w:div w:id="9199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4713">
      <w:bodyDiv w:val="1"/>
      <w:marLeft w:val="0"/>
      <w:marRight w:val="0"/>
      <w:marTop w:val="0"/>
      <w:marBottom w:val="0"/>
      <w:divBdr>
        <w:top w:val="none" w:sz="0" w:space="0" w:color="auto"/>
        <w:left w:val="none" w:sz="0" w:space="0" w:color="auto"/>
        <w:bottom w:val="none" w:sz="0" w:space="0" w:color="auto"/>
        <w:right w:val="none" w:sz="0" w:space="0" w:color="auto"/>
      </w:divBdr>
    </w:div>
    <w:div w:id="285284104">
      <w:bodyDiv w:val="1"/>
      <w:marLeft w:val="0"/>
      <w:marRight w:val="0"/>
      <w:marTop w:val="0"/>
      <w:marBottom w:val="0"/>
      <w:divBdr>
        <w:top w:val="none" w:sz="0" w:space="0" w:color="auto"/>
        <w:left w:val="none" w:sz="0" w:space="0" w:color="auto"/>
        <w:bottom w:val="none" w:sz="0" w:space="0" w:color="auto"/>
        <w:right w:val="none" w:sz="0" w:space="0" w:color="auto"/>
      </w:divBdr>
    </w:div>
    <w:div w:id="352995102">
      <w:bodyDiv w:val="1"/>
      <w:marLeft w:val="0"/>
      <w:marRight w:val="0"/>
      <w:marTop w:val="0"/>
      <w:marBottom w:val="0"/>
      <w:divBdr>
        <w:top w:val="none" w:sz="0" w:space="0" w:color="auto"/>
        <w:left w:val="none" w:sz="0" w:space="0" w:color="auto"/>
        <w:bottom w:val="none" w:sz="0" w:space="0" w:color="auto"/>
        <w:right w:val="none" w:sz="0" w:space="0" w:color="auto"/>
      </w:divBdr>
    </w:div>
    <w:div w:id="454062655">
      <w:bodyDiv w:val="1"/>
      <w:marLeft w:val="0"/>
      <w:marRight w:val="0"/>
      <w:marTop w:val="0"/>
      <w:marBottom w:val="0"/>
      <w:divBdr>
        <w:top w:val="none" w:sz="0" w:space="0" w:color="auto"/>
        <w:left w:val="none" w:sz="0" w:space="0" w:color="auto"/>
        <w:bottom w:val="none" w:sz="0" w:space="0" w:color="auto"/>
        <w:right w:val="none" w:sz="0" w:space="0" w:color="auto"/>
      </w:divBdr>
    </w:div>
    <w:div w:id="526068938">
      <w:bodyDiv w:val="1"/>
      <w:marLeft w:val="0"/>
      <w:marRight w:val="0"/>
      <w:marTop w:val="0"/>
      <w:marBottom w:val="0"/>
      <w:divBdr>
        <w:top w:val="none" w:sz="0" w:space="0" w:color="auto"/>
        <w:left w:val="none" w:sz="0" w:space="0" w:color="auto"/>
        <w:bottom w:val="none" w:sz="0" w:space="0" w:color="auto"/>
        <w:right w:val="none" w:sz="0" w:space="0" w:color="auto"/>
      </w:divBdr>
      <w:divsChild>
        <w:div w:id="744912308">
          <w:marLeft w:val="0"/>
          <w:marRight w:val="0"/>
          <w:marTop w:val="0"/>
          <w:marBottom w:val="0"/>
          <w:divBdr>
            <w:top w:val="none" w:sz="0" w:space="0" w:color="auto"/>
            <w:left w:val="none" w:sz="0" w:space="0" w:color="auto"/>
            <w:bottom w:val="none" w:sz="0" w:space="0" w:color="auto"/>
            <w:right w:val="none" w:sz="0" w:space="0" w:color="auto"/>
          </w:divBdr>
          <w:divsChild>
            <w:div w:id="1102188289">
              <w:marLeft w:val="0"/>
              <w:marRight w:val="0"/>
              <w:marTop w:val="0"/>
              <w:marBottom w:val="0"/>
              <w:divBdr>
                <w:top w:val="none" w:sz="0" w:space="0" w:color="auto"/>
                <w:left w:val="none" w:sz="0" w:space="0" w:color="auto"/>
                <w:bottom w:val="none" w:sz="0" w:space="0" w:color="auto"/>
                <w:right w:val="none" w:sz="0" w:space="0" w:color="auto"/>
              </w:divBdr>
              <w:divsChild>
                <w:div w:id="7682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88448">
      <w:bodyDiv w:val="1"/>
      <w:marLeft w:val="0"/>
      <w:marRight w:val="0"/>
      <w:marTop w:val="0"/>
      <w:marBottom w:val="0"/>
      <w:divBdr>
        <w:top w:val="none" w:sz="0" w:space="0" w:color="auto"/>
        <w:left w:val="none" w:sz="0" w:space="0" w:color="auto"/>
        <w:bottom w:val="none" w:sz="0" w:space="0" w:color="auto"/>
        <w:right w:val="none" w:sz="0" w:space="0" w:color="auto"/>
      </w:divBdr>
    </w:div>
    <w:div w:id="563302230">
      <w:bodyDiv w:val="1"/>
      <w:marLeft w:val="0"/>
      <w:marRight w:val="0"/>
      <w:marTop w:val="0"/>
      <w:marBottom w:val="0"/>
      <w:divBdr>
        <w:top w:val="none" w:sz="0" w:space="0" w:color="auto"/>
        <w:left w:val="none" w:sz="0" w:space="0" w:color="auto"/>
        <w:bottom w:val="none" w:sz="0" w:space="0" w:color="auto"/>
        <w:right w:val="none" w:sz="0" w:space="0" w:color="auto"/>
      </w:divBdr>
      <w:divsChild>
        <w:div w:id="786969468">
          <w:marLeft w:val="0"/>
          <w:marRight w:val="0"/>
          <w:marTop w:val="0"/>
          <w:marBottom w:val="0"/>
          <w:divBdr>
            <w:top w:val="none" w:sz="0" w:space="0" w:color="auto"/>
            <w:left w:val="none" w:sz="0" w:space="0" w:color="auto"/>
            <w:bottom w:val="none" w:sz="0" w:space="0" w:color="auto"/>
            <w:right w:val="none" w:sz="0" w:space="0" w:color="auto"/>
          </w:divBdr>
          <w:divsChild>
            <w:div w:id="1851018083">
              <w:marLeft w:val="0"/>
              <w:marRight w:val="0"/>
              <w:marTop w:val="0"/>
              <w:marBottom w:val="0"/>
              <w:divBdr>
                <w:top w:val="none" w:sz="0" w:space="0" w:color="auto"/>
                <w:left w:val="none" w:sz="0" w:space="0" w:color="auto"/>
                <w:bottom w:val="none" w:sz="0" w:space="0" w:color="auto"/>
                <w:right w:val="none" w:sz="0" w:space="0" w:color="auto"/>
              </w:divBdr>
              <w:divsChild>
                <w:div w:id="16879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0278">
      <w:bodyDiv w:val="1"/>
      <w:marLeft w:val="0"/>
      <w:marRight w:val="0"/>
      <w:marTop w:val="0"/>
      <w:marBottom w:val="0"/>
      <w:divBdr>
        <w:top w:val="none" w:sz="0" w:space="0" w:color="auto"/>
        <w:left w:val="none" w:sz="0" w:space="0" w:color="auto"/>
        <w:bottom w:val="none" w:sz="0" w:space="0" w:color="auto"/>
        <w:right w:val="none" w:sz="0" w:space="0" w:color="auto"/>
      </w:divBdr>
      <w:divsChild>
        <w:div w:id="735783636">
          <w:marLeft w:val="0"/>
          <w:marRight w:val="0"/>
          <w:marTop w:val="0"/>
          <w:marBottom w:val="0"/>
          <w:divBdr>
            <w:top w:val="none" w:sz="0" w:space="0" w:color="auto"/>
            <w:left w:val="none" w:sz="0" w:space="0" w:color="auto"/>
            <w:bottom w:val="none" w:sz="0" w:space="0" w:color="auto"/>
            <w:right w:val="none" w:sz="0" w:space="0" w:color="auto"/>
          </w:divBdr>
          <w:divsChild>
            <w:div w:id="1528524605">
              <w:marLeft w:val="0"/>
              <w:marRight w:val="0"/>
              <w:marTop w:val="0"/>
              <w:marBottom w:val="0"/>
              <w:divBdr>
                <w:top w:val="none" w:sz="0" w:space="0" w:color="auto"/>
                <w:left w:val="none" w:sz="0" w:space="0" w:color="auto"/>
                <w:bottom w:val="none" w:sz="0" w:space="0" w:color="auto"/>
                <w:right w:val="none" w:sz="0" w:space="0" w:color="auto"/>
              </w:divBdr>
              <w:divsChild>
                <w:div w:id="8701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1156">
      <w:bodyDiv w:val="1"/>
      <w:marLeft w:val="0"/>
      <w:marRight w:val="0"/>
      <w:marTop w:val="0"/>
      <w:marBottom w:val="0"/>
      <w:divBdr>
        <w:top w:val="none" w:sz="0" w:space="0" w:color="auto"/>
        <w:left w:val="none" w:sz="0" w:space="0" w:color="auto"/>
        <w:bottom w:val="none" w:sz="0" w:space="0" w:color="auto"/>
        <w:right w:val="none" w:sz="0" w:space="0" w:color="auto"/>
      </w:divBdr>
    </w:div>
    <w:div w:id="758329769">
      <w:bodyDiv w:val="1"/>
      <w:marLeft w:val="0"/>
      <w:marRight w:val="0"/>
      <w:marTop w:val="0"/>
      <w:marBottom w:val="0"/>
      <w:divBdr>
        <w:top w:val="none" w:sz="0" w:space="0" w:color="auto"/>
        <w:left w:val="none" w:sz="0" w:space="0" w:color="auto"/>
        <w:bottom w:val="none" w:sz="0" w:space="0" w:color="auto"/>
        <w:right w:val="none" w:sz="0" w:space="0" w:color="auto"/>
      </w:divBdr>
    </w:div>
    <w:div w:id="974413546">
      <w:bodyDiv w:val="1"/>
      <w:marLeft w:val="0"/>
      <w:marRight w:val="0"/>
      <w:marTop w:val="0"/>
      <w:marBottom w:val="0"/>
      <w:divBdr>
        <w:top w:val="none" w:sz="0" w:space="0" w:color="auto"/>
        <w:left w:val="none" w:sz="0" w:space="0" w:color="auto"/>
        <w:bottom w:val="none" w:sz="0" w:space="0" w:color="auto"/>
        <w:right w:val="none" w:sz="0" w:space="0" w:color="auto"/>
      </w:divBdr>
      <w:divsChild>
        <w:div w:id="1465149192">
          <w:marLeft w:val="0"/>
          <w:marRight w:val="0"/>
          <w:marTop w:val="0"/>
          <w:marBottom w:val="0"/>
          <w:divBdr>
            <w:top w:val="none" w:sz="0" w:space="0" w:color="auto"/>
            <w:left w:val="none" w:sz="0" w:space="0" w:color="auto"/>
            <w:bottom w:val="none" w:sz="0" w:space="0" w:color="auto"/>
            <w:right w:val="none" w:sz="0" w:space="0" w:color="auto"/>
          </w:divBdr>
          <w:divsChild>
            <w:div w:id="1648700071">
              <w:marLeft w:val="0"/>
              <w:marRight w:val="0"/>
              <w:marTop w:val="0"/>
              <w:marBottom w:val="0"/>
              <w:divBdr>
                <w:top w:val="none" w:sz="0" w:space="0" w:color="auto"/>
                <w:left w:val="none" w:sz="0" w:space="0" w:color="auto"/>
                <w:bottom w:val="none" w:sz="0" w:space="0" w:color="auto"/>
                <w:right w:val="none" w:sz="0" w:space="0" w:color="auto"/>
              </w:divBdr>
              <w:divsChild>
                <w:div w:id="792285482">
                  <w:marLeft w:val="0"/>
                  <w:marRight w:val="0"/>
                  <w:marTop w:val="0"/>
                  <w:marBottom w:val="0"/>
                  <w:divBdr>
                    <w:top w:val="none" w:sz="0" w:space="0" w:color="auto"/>
                    <w:left w:val="none" w:sz="0" w:space="0" w:color="auto"/>
                    <w:bottom w:val="none" w:sz="0" w:space="0" w:color="auto"/>
                    <w:right w:val="none" w:sz="0" w:space="0" w:color="auto"/>
                  </w:divBdr>
                  <w:divsChild>
                    <w:div w:id="1751268144">
                      <w:marLeft w:val="0"/>
                      <w:marRight w:val="0"/>
                      <w:marTop w:val="0"/>
                      <w:marBottom w:val="0"/>
                      <w:divBdr>
                        <w:top w:val="none" w:sz="0" w:space="0" w:color="auto"/>
                        <w:left w:val="none" w:sz="0" w:space="0" w:color="auto"/>
                        <w:bottom w:val="none" w:sz="0" w:space="0" w:color="auto"/>
                        <w:right w:val="none" w:sz="0" w:space="0" w:color="auto"/>
                      </w:divBdr>
                      <w:divsChild>
                        <w:div w:id="1429887769">
                          <w:marLeft w:val="0"/>
                          <w:marRight w:val="0"/>
                          <w:marTop w:val="0"/>
                          <w:marBottom w:val="0"/>
                          <w:divBdr>
                            <w:top w:val="none" w:sz="0" w:space="0" w:color="auto"/>
                            <w:left w:val="none" w:sz="0" w:space="0" w:color="auto"/>
                            <w:bottom w:val="none" w:sz="0" w:space="0" w:color="auto"/>
                            <w:right w:val="none" w:sz="0" w:space="0" w:color="auto"/>
                          </w:divBdr>
                          <w:divsChild>
                            <w:div w:id="1867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24001">
      <w:bodyDiv w:val="1"/>
      <w:marLeft w:val="0"/>
      <w:marRight w:val="0"/>
      <w:marTop w:val="0"/>
      <w:marBottom w:val="0"/>
      <w:divBdr>
        <w:top w:val="none" w:sz="0" w:space="0" w:color="auto"/>
        <w:left w:val="none" w:sz="0" w:space="0" w:color="auto"/>
        <w:bottom w:val="none" w:sz="0" w:space="0" w:color="auto"/>
        <w:right w:val="none" w:sz="0" w:space="0" w:color="auto"/>
      </w:divBdr>
      <w:divsChild>
        <w:div w:id="2018655805">
          <w:marLeft w:val="0"/>
          <w:marRight w:val="0"/>
          <w:marTop w:val="0"/>
          <w:marBottom w:val="0"/>
          <w:divBdr>
            <w:top w:val="none" w:sz="0" w:space="0" w:color="auto"/>
            <w:left w:val="none" w:sz="0" w:space="0" w:color="auto"/>
            <w:bottom w:val="none" w:sz="0" w:space="0" w:color="auto"/>
            <w:right w:val="none" w:sz="0" w:space="0" w:color="auto"/>
          </w:divBdr>
          <w:divsChild>
            <w:div w:id="698438234">
              <w:marLeft w:val="0"/>
              <w:marRight w:val="0"/>
              <w:marTop w:val="0"/>
              <w:marBottom w:val="0"/>
              <w:divBdr>
                <w:top w:val="none" w:sz="0" w:space="0" w:color="auto"/>
                <w:left w:val="none" w:sz="0" w:space="0" w:color="auto"/>
                <w:bottom w:val="none" w:sz="0" w:space="0" w:color="auto"/>
                <w:right w:val="none" w:sz="0" w:space="0" w:color="auto"/>
              </w:divBdr>
              <w:divsChild>
                <w:div w:id="191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730">
      <w:bodyDiv w:val="1"/>
      <w:marLeft w:val="0"/>
      <w:marRight w:val="0"/>
      <w:marTop w:val="0"/>
      <w:marBottom w:val="0"/>
      <w:divBdr>
        <w:top w:val="none" w:sz="0" w:space="0" w:color="auto"/>
        <w:left w:val="none" w:sz="0" w:space="0" w:color="auto"/>
        <w:bottom w:val="none" w:sz="0" w:space="0" w:color="auto"/>
        <w:right w:val="none" w:sz="0" w:space="0" w:color="auto"/>
      </w:divBdr>
    </w:div>
    <w:div w:id="1230657789">
      <w:bodyDiv w:val="1"/>
      <w:marLeft w:val="0"/>
      <w:marRight w:val="0"/>
      <w:marTop w:val="0"/>
      <w:marBottom w:val="0"/>
      <w:divBdr>
        <w:top w:val="none" w:sz="0" w:space="0" w:color="auto"/>
        <w:left w:val="none" w:sz="0" w:space="0" w:color="auto"/>
        <w:bottom w:val="none" w:sz="0" w:space="0" w:color="auto"/>
        <w:right w:val="none" w:sz="0" w:space="0" w:color="auto"/>
      </w:divBdr>
    </w:div>
    <w:div w:id="1236434856">
      <w:bodyDiv w:val="1"/>
      <w:marLeft w:val="0"/>
      <w:marRight w:val="0"/>
      <w:marTop w:val="0"/>
      <w:marBottom w:val="0"/>
      <w:divBdr>
        <w:top w:val="none" w:sz="0" w:space="0" w:color="auto"/>
        <w:left w:val="none" w:sz="0" w:space="0" w:color="auto"/>
        <w:bottom w:val="none" w:sz="0" w:space="0" w:color="auto"/>
        <w:right w:val="none" w:sz="0" w:space="0" w:color="auto"/>
      </w:divBdr>
      <w:divsChild>
        <w:div w:id="62065233">
          <w:marLeft w:val="0"/>
          <w:marRight w:val="0"/>
          <w:marTop w:val="0"/>
          <w:marBottom w:val="0"/>
          <w:divBdr>
            <w:top w:val="none" w:sz="0" w:space="0" w:color="auto"/>
            <w:left w:val="none" w:sz="0" w:space="0" w:color="auto"/>
            <w:bottom w:val="none" w:sz="0" w:space="0" w:color="auto"/>
            <w:right w:val="none" w:sz="0" w:space="0" w:color="auto"/>
          </w:divBdr>
          <w:divsChild>
            <w:div w:id="1593661039">
              <w:marLeft w:val="0"/>
              <w:marRight w:val="0"/>
              <w:marTop w:val="0"/>
              <w:marBottom w:val="0"/>
              <w:divBdr>
                <w:top w:val="none" w:sz="0" w:space="0" w:color="auto"/>
                <w:left w:val="none" w:sz="0" w:space="0" w:color="auto"/>
                <w:bottom w:val="none" w:sz="0" w:space="0" w:color="auto"/>
                <w:right w:val="none" w:sz="0" w:space="0" w:color="auto"/>
              </w:divBdr>
              <w:divsChild>
                <w:div w:id="6961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73055">
      <w:bodyDiv w:val="1"/>
      <w:marLeft w:val="0"/>
      <w:marRight w:val="0"/>
      <w:marTop w:val="0"/>
      <w:marBottom w:val="0"/>
      <w:divBdr>
        <w:top w:val="none" w:sz="0" w:space="0" w:color="auto"/>
        <w:left w:val="none" w:sz="0" w:space="0" w:color="auto"/>
        <w:bottom w:val="none" w:sz="0" w:space="0" w:color="auto"/>
        <w:right w:val="none" w:sz="0" w:space="0" w:color="auto"/>
      </w:divBdr>
    </w:div>
    <w:div w:id="1258056813">
      <w:bodyDiv w:val="1"/>
      <w:marLeft w:val="0"/>
      <w:marRight w:val="0"/>
      <w:marTop w:val="0"/>
      <w:marBottom w:val="0"/>
      <w:divBdr>
        <w:top w:val="none" w:sz="0" w:space="0" w:color="auto"/>
        <w:left w:val="none" w:sz="0" w:space="0" w:color="auto"/>
        <w:bottom w:val="none" w:sz="0" w:space="0" w:color="auto"/>
        <w:right w:val="none" w:sz="0" w:space="0" w:color="auto"/>
      </w:divBdr>
    </w:div>
    <w:div w:id="1263997885">
      <w:bodyDiv w:val="1"/>
      <w:marLeft w:val="0"/>
      <w:marRight w:val="0"/>
      <w:marTop w:val="0"/>
      <w:marBottom w:val="0"/>
      <w:divBdr>
        <w:top w:val="none" w:sz="0" w:space="0" w:color="auto"/>
        <w:left w:val="none" w:sz="0" w:space="0" w:color="auto"/>
        <w:bottom w:val="none" w:sz="0" w:space="0" w:color="auto"/>
        <w:right w:val="none" w:sz="0" w:space="0" w:color="auto"/>
      </w:divBdr>
      <w:divsChild>
        <w:div w:id="712080648">
          <w:marLeft w:val="0"/>
          <w:marRight w:val="0"/>
          <w:marTop w:val="0"/>
          <w:marBottom w:val="0"/>
          <w:divBdr>
            <w:top w:val="none" w:sz="0" w:space="0" w:color="auto"/>
            <w:left w:val="none" w:sz="0" w:space="0" w:color="auto"/>
            <w:bottom w:val="none" w:sz="0" w:space="0" w:color="auto"/>
            <w:right w:val="none" w:sz="0" w:space="0" w:color="auto"/>
          </w:divBdr>
          <w:divsChild>
            <w:div w:id="1757631678">
              <w:marLeft w:val="0"/>
              <w:marRight w:val="0"/>
              <w:marTop w:val="0"/>
              <w:marBottom w:val="0"/>
              <w:divBdr>
                <w:top w:val="none" w:sz="0" w:space="0" w:color="auto"/>
                <w:left w:val="none" w:sz="0" w:space="0" w:color="auto"/>
                <w:bottom w:val="none" w:sz="0" w:space="0" w:color="auto"/>
                <w:right w:val="none" w:sz="0" w:space="0" w:color="auto"/>
              </w:divBdr>
              <w:divsChild>
                <w:div w:id="13108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8120">
      <w:bodyDiv w:val="1"/>
      <w:marLeft w:val="0"/>
      <w:marRight w:val="0"/>
      <w:marTop w:val="0"/>
      <w:marBottom w:val="0"/>
      <w:divBdr>
        <w:top w:val="none" w:sz="0" w:space="0" w:color="auto"/>
        <w:left w:val="none" w:sz="0" w:space="0" w:color="auto"/>
        <w:bottom w:val="none" w:sz="0" w:space="0" w:color="auto"/>
        <w:right w:val="none" w:sz="0" w:space="0" w:color="auto"/>
      </w:divBdr>
      <w:divsChild>
        <w:div w:id="1275095336">
          <w:marLeft w:val="0"/>
          <w:marRight w:val="0"/>
          <w:marTop w:val="0"/>
          <w:marBottom w:val="0"/>
          <w:divBdr>
            <w:top w:val="none" w:sz="0" w:space="0" w:color="auto"/>
            <w:left w:val="none" w:sz="0" w:space="0" w:color="auto"/>
            <w:bottom w:val="none" w:sz="0" w:space="0" w:color="auto"/>
            <w:right w:val="none" w:sz="0" w:space="0" w:color="auto"/>
          </w:divBdr>
          <w:divsChild>
            <w:div w:id="371686551">
              <w:marLeft w:val="0"/>
              <w:marRight w:val="0"/>
              <w:marTop w:val="0"/>
              <w:marBottom w:val="0"/>
              <w:divBdr>
                <w:top w:val="none" w:sz="0" w:space="0" w:color="auto"/>
                <w:left w:val="none" w:sz="0" w:space="0" w:color="auto"/>
                <w:bottom w:val="none" w:sz="0" w:space="0" w:color="auto"/>
                <w:right w:val="none" w:sz="0" w:space="0" w:color="auto"/>
              </w:divBdr>
              <w:divsChild>
                <w:div w:id="8835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876">
      <w:bodyDiv w:val="1"/>
      <w:marLeft w:val="0"/>
      <w:marRight w:val="0"/>
      <w:marTop w:val="0"/>
      <w:marBottom w:val="0"/>
      <w:divBdr>
        <w:top w:val="none" w:sz="0" w:space="0" w:color="auto"/>
        <w:left w:val="none" w:sz="0" w:space="0" w:color="auto"/>
        <w:bottom w:val="none" w:sz="0" w:space="0" w:color="auto"/>
        <w:right w:val="none" w:sz="0" w:space="0" w:color="auto"/>
      </w:divBdr>
      <w:divsChild>
        <w:div w:id="274681203">
          <w:marLeft w:val="0"/>
          <w:marRight w:val="0"/>
          <w:marTop w:val="0"/>
          <w:marBottom w:val="0"/>
          <w:divBdr>
            <w:top w:val="none" w:sz="0" w:space="0" w:color="auto"/>
            <w:left w:val="none" w:sz="0" w:space="0" w:color="auto"/>
            <w:bottom w:val="none" w:sz="0" w:space="0" w:color="auto"/>
            <w:right w:val="none" w:sz="0" w:space="0" w:color="auto"/>
          </w:divBdr>
          <w:divsChild>
            <w:div w:id="1890266275">
              <w:marLeft w:val="0"/>
              <w:marRight w:val="0"/>
              <w:marTop w:val="0"/>
              <w:marBottom w:val="0"/>
              <w:divBdr>
                <w:top w:val="none" w:sz="0" w:space="0" w:color="auto"/>
                <w:left w:val="none" w:sz="0" w:space="0" w:color="auto"/>
                <w:bottom w:val="none" w:sz="0" w:space="0" w:color="auto"/>
                <w:right w:val="none" w:sz="0" w:space="0" w:color="auto"/>
              </w:divBdr>
              <w:divsChild>
                <w:div w:id="289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7955">
      <w:bodyDiv w:val="1"/>
      <w:marLeft w:val="0"/>
      <w:marRight w:val="0"/>
      <w:marTop w:val="0"/>
      <w:marBottom w:val="0"/>
      <w:divBdr>
        <w:top w:val="none" w:sz="0" w:space="0" w:color="auto"/>
        <w:left w:val="none" w:sz="0" w:space="0" w:color="auto"/>
        <w:bottom w:val="none" w:sz="0" w:space="0" w:color="auto"/>
        <w:right w:val="none" w:sz="0" w:space="0" w:color="auto"/>
      </w:divBdr>
    </w:div>
    <w:div w:id="1488588301">
      <w:bodyDiv w:val="1"/>
      <w:marLeft w:val="0"/>
      <w:marRight w:val="0"/>
      <w:marTop w:val="0"/>
      <w:marBottom w:val="0"/>
      <w:divBdr>
        <w:top w:val="none" w:sz="0" w:space="0" w:color="auto"/>
        <w:left w:val="none" w:sz="0" w:space="0" w:color="auto"/>
        <w:bottom w:val="none" w:sz="0" w:space="0" w:color="auto"/>
        <w:right w:val="none" w:sz="0" w:space="0" w:color="auto"/>
      </w:divBdr>
    </w:div>
    <w:div w:id="1501968493">
      <w:bodyDiv w:val="1"/>
      <w:marLeft w:val="0"/>
      <w:marRight w:val="0"/>
      <w:marTop w:val="0"/>
      <w:marBottom w:val="0"/>
      <w:divBdr>
        <w:top w:val="none" w:sz="0" w:space="0" w:color="auto"/>
        <w:left w:val="none" w:sz="0" w:space="0" w:color="auto"/>
        <w:bottom w:val="none" w:sz="0" w:space="0" w:color="auto"/>
        <w:right w:val="none" w:sz="0" w:space="0" w:color="auto"/>
      </w:divBdr>
    </w:div>
    <w:div w:id="1503428409">
      <w:bodyDiv w:val="1"/>
      <w:marLeft w:val="0"/>
      <w:marRight w:val="0"/>
      <w:marTop w:val="0"/>
      <w:marBottom w:val="0"/>
      <w:divBdr>
        <w:top w:val="none" w:sz="0" w:space="0" w:color="auto"/>
        <w:left w:val="none" w:sz="0" w:space="0" w:color="auto"/>
        <w:bottom w:val="none" w:sz="0" w:space="0" w:color="auto"/>
        <w:right w:val="none" w:sz="0" w:space="0" w:color="auto"/>
      </w:divBdr>
    </w:div>
    <w:div w:id="1528177457">
      <w:bodyDiv w:val="1"/>
      <w:marLeft w:val="0"/>
      <w:marRight w:val="0"/>
      <w:marTop w:val="0"/>
      <w:marBottom w:val="0"/>
      <w:divBdr>
        <w:top w:val="none" w:sz="0" w:space="0" w:color="auto"/>
        <w:left w:val="none" w:sz="0" w:space="0" w:color="auto"/>
        <w:bottom w:val="none" w:sz="0" w:space="0" w:color="auto"/>
        <w:right w:val="none" w:sz="0" w:space="0" w:color="auto"/>
      </w:divBdr>
    </w:div>
    <w:div w:id="1578055080">
      <w:bodyDiv w:val="1"/>
      <w:marLeft w:val="0"/>
      <w:marRight w:val="0"/>
      <w:marTop w:val="0"/>
      <w:marBottom w:val="0"/>
      <w:divBdr>
        <w:top w:val="none" w:sz="0" w:space="0" w:color="auto"/>
        <w:left w:val="none" w:sz="0" w:space="0" w:color="auto"/>
        <w:bottom w:val="none" w:sz="0" w:space="0" w:color="auto"/>
        <w:right w:val="none" w:sz="0" w:space="0" w:color="auto"/>
      </w:divBdr>
    </w:div>
    <w:div w:id="1615750845">
      <w:bodyDiv w:val="1"/>
      <w:marLeft w:val="0"/>
      <w:marRight w:val="0"/>
      <w:marTop w:val="0"/>
      <w:marBottom w:val="0"/>
      <w:divBdr>
        <w:top w:val="none" w:sz="0" w:space="0" w:color="auto"/>
        <w:left w:val="none" w:sz="0" w:space="0" w:color="auto"/>
        <w:bottom w:val="none" w:sz="0" w:space="0" w:color="auto"/>
        <w:right w:val="none" w:sz="0" w:space="0" w:color="auto"/>
      </w:divBdr>
      <w:divsChild>
        <w:div w:id="2093775536">
          <w:marLeft w:val="0"/>
          <w:marRight w:val="0"/>
          <w:marTop w:val="0"/>
          <w:marBottom w:val="0"/>
          <w:divBdr>
            <w:top w:val="none" w:sz="0" w:space="0" w:color="auto"/>
            <w:left w:val="none" w:sz="0" w:space="0" w:color="auto"/>
            <w:bottom w:val="none" w:sz="0" w:space="0" w:color="auto"/>
            <w:right w:val="none" w:sz="0" w:space="0" w:color="auto"/>
          </w:divBdr>
          <w:divsChild>
            <w:div w:id="1558659403">
              <w:marLeft w:val="0"/>
              <w:marRight w:val="0"/>
              <w:marTop w:val="0"/>
              <w:marBottom w:val="0"/>
              <w:divBdr>
                <w:top w:val="none" w:sz="0" w:space="0" w:color="auto"/>
                <w:left w:val="none" w:sz="0" w:space="0" w:color="auto"/>
                <w:bottom w:val="none" w:sz="0" w:space="0" w:color="auto"/>
                <w:right w:val="none" w:sz="0" w:space="0" w:color="auto"/>
              </w:divBdr>
              <w:divsChild>
                <w:div w:id="17035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3786">
      <w:bodyDiv w:val="1"/>
      <w:marLeft w:val="0"/>
      <w:marRight w:val="0"/>
      <w:marTop w:val="0"/>
      <w:marBottom w:val="0"/>
      <w:divBdr>
        <w:top w:val="none" w:sz="0" w:space="0" w:color="auto"/>
        <w:left w:val="none" w:sz="0" w:space="0" w:color="auto"/>
        <w:bottom w:val="none" w:sz="0" w:space="0" w:color="auto"/>
        <w:right w:val="none" w:sz="0" w:space="0" w:color="auto"/>
      </w:divBdr>
      <w:divsChild>
        <w:div w:id="1766917373">
          <w:marLeft w:val="0"/>
          <w:marRight w:val="0"/>
          <w:marTop w:val="0"/>
          <w:marBottom w:val="0"/>
          <w:divBdr>
            <w:top w:val="none" w:sz="0" w:space="0" w:color="auto"/>
            <w:left w:val="none" w:sz="0" w:space="0" w:color="auto"/>
            <w:bottom w:val="none" w:sz="0" w:space="0" w:color="auto"/>
            <w:right w:val="none" w:sz="0" w:space="0" w:color="auto"/>
          </w:divBdr>
          <w:divsChild>
            <w:div w:id="2039623516">
              <w:marLeft w:val="0"/>
              <w:marRight w:val="0"/>
              <w:marTop w:val="0"/>
              <w:marBottom w:val="0"/>
              <w:divBdr>
                <w:top w:val="none" w:sz="0" w:space="0" w:color="auto"/>
                <w:left w:val="none" w:sz="0" w:space="0" w:color="auto"/>
                <w:bottom w:val="none" w:sz="0" w:space="0" w:color="auto"/>
                <w:right w:val="none" w:sz="0" w:space="0" w:color="auto"/>
              </w:divBdr>
              <w:divsChild>
                <w:div w:id="19260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7317">
      <w:bodyDiv w:val="1"/>
      <w:marLeft w:val="0"/>
      <w:marRight w:val="0"/>
      <w:marTop w:val="0"/>
      <w:marBottom w:val="0"/>
      <w:divBdr>
        <w:top w:val="none" w:sz="0" w:space="0" w:color="auto"/>
        <w:left w:val="none" w:sz="0" w:space="0" w:color="auto"/>
        <w:bottom w:val="none" w:sz="0" w:space="0" w:color="auto"/>
        <w:right w:val="none" w:sz="0" w:space="0" w:color="auto"/>
      </w:divBdr>
    </w:div>
    <w:div w:id="1724016026">
      <w:bodyDiv w:val="1"/>
      <w:marLeft w:val="0"/>
      <w:marRight w:val="0"/>
      <w:marTop w:val="0"/>
      <w:marBottom w:val="0"/>
      <w:divBdr>
        <w:top w:val="none" w:sz="0" w:space="0" w:color="auto"/>
        <w:left w:val="none" w:sz="0" w:space="0" w:color="auto"/>
        <w:bottom w:val="none" w:sz="0" w:space="0" w:color="auto"/>
        <w:right w:val="none" w:sz="0" w:space="0" w:color="auto"/>
      </w:divBdr>
    </w:div>
    <w:div w:id="1733115781">
      <w:bodyDiv w:val="1"/>
      <w:marLeft w:val="0"/>
      <w:marRight w:val="0"/>
      <w:marTop w:val="0"/>
      <w:marBottom w:val="0"/>
      <w:divBdr>
        <w:top w:val="none" w:sz="0" w:space="0" w:color="auto"/>
        <w:left w:val="none" w:sz="0" w:space="0" w:color="auto"/>
        <w:bottom w:val="none" w:sz="0" w:space="0" w:color="auto"/>
        <w:right w:val="none" w:sz="0" w:space="0" w:color="auto"/>
      </w:divBdr>
    </w:div>
    <w:div w:id="1746368626">
      <w:bodyDiv w:val="1"/>
      <w:marLeft w:val="0"/>
      <w:marRight w:val="0"/>
      <w:marTop w:val="0"/>
      <w:marBottom w:val="0"/>
      <w:divBdr>
        <w:top w:val="none" w:sz="0" w:space="0" w:color="auto"/>
        <w:left w:val="none" w:sz="0" w:space="0" w:color="auto"/>
        <w:bottom w:val="none" w:sz="0" w:space="0" w:color="auto"/>
        <w:right w:val="none" w:sz="0" w:space="0" w:color="auto"/>
      </w:divBdr>
      <w:divsChild>
        <w:div w:id="2128043474">
          <w:marLeft w:val="0"/>
          <w:marRight w:val="0"/>
          <w:marTop w:val="0"/>
          <w:marBottom w:val="0"/>
          <w:divBdr>
            <w:top w:val="none" w:sz="0" w:space="0" w:color="auto"/>
            <w:left w:val="none" w:sz="0" w:space="0" w:color="auto"/>
            <w:bottom w:val="none" w:sz="0" w:space="0" w:color="auto"/>
            <w:right w:val="none" w:sz="0" w:space="0" w:color="auto"/>
          </w:divBdr>
          <w:divsChild>
            <w:div w:id="52312772">
              <w:marLeft w:val="0"/>
              <w:marRight w:val="0"/>
              <w:marTop w:val="0"/>
              <w:marBottom w:val="0"/>
              <w:divBdr>
                <w:top w:val="none" w:sz="0" w:space="0" w:color="auto"/>
                <w:left w:val="none" w:sz="0" w:space="0" w:color="auto"/>
                <w:bottom w:val="none" w:sz="0" w:space="0" w:color="auto"/>
                <w:right w:val="none" w:sz="0" w:space="0" w:color="auto"/>
              </w:divBdr>
              <w:divsChild>
                <w:div w:id="15618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7571">
      <w:bodyDiv w:val="1"/>
      <w:marLeft w:val="0"/>
      <w:marRight w:val="0"/>
      <w:marTop w:val="0"/>
      <w:marBottom w:val="0"/>
      <w:divBdr>
        <w:top w:val="none" w:sz="0" w:space="0" w:color="auto"/>
        <w:left w:val="none" w:sz="0" w:space="0" w:color="auto"/>
        <w:bottom w:val="none" w:sz="0" w:space="0" w:color="auto"/>
        <w:right w:val="none" w:sz="0" w:space="0" w:color="auto"/>
      </w:divBdr>
      <w:divsChild>
        <w:div w:id="396437236">
          <w:marLeft w:val="0"/>
          <w:marRight w:val="0"/>
          <w:marTop w:val="0"/>
          <w:marBottom w:val="0"/>
          <w:divBdr>
            <w:top w:val="none" w:sz="0" w:space="0" w:color="auto"/>
            <w:left w:val="none" w:sz="0" w:space="0" w:color="auto"/>
            <w:bottom w:val="none" w:sz="0" w:space="0" w:color="auto"/>
            <w:right w:val="none" w:sz="0" w:space="0" w:color="auto"/>
          </w:divBdr>
          <w:divsChild>
            <w:div w:id="719747751">
              <w:marLeft w:val="0"/>
              <w:marRight w:val="0"/>
              <w:marTop w:val="0"/>
              <w:marBottom w:val="0"/>
              <w:divBdr>
                <w:top w:val="none" w:sz="0" w:space="0" w:color="auto"/>
                <w:left w:val="none" w:sz="0" w:space="0" w:color="auto"/>
                <w:bottom w:val="none" w:sz="0" w:space="0" w:color="auto"/>
                <w:right w:val="none" w:sz="0" w:space="0" w:color="auto"/>
              </w:divBdr>
              <w:divsChild>
                <w:div w:id="326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70398">
      <w:bodyDiv w:val="1"/>
      <w:marLeft w:val="0"/>
      <w:marRight w:val="0"/>
      <w:marTop w:val="0"/>
      <w:marBottom w:val="0"/>
      <w:divBdr>
        <w:top w:val="none" w:sz="0" w:space="0" w:color="auto"/>
        <w:left w:val="none" w:sz="0" w:space="0" w:color="auto"/>
        <w:bottom w:val="none" w:sz="0" w:space="0" w:color="auto"/>
        <w:right w:val="none" w:sz="0" w:space="0" w:color="auto"/>
      </w:divBdr>
    </w:div>
    <w:div w:id="1768186746">
      <w:bodyDiv w:val="1"/>
      <w:marLeft w:val="0"/>
      <w:marRight w:val="0"/>
      <w:marTop w:val="0"/>
      <w:marBottom w:val="0"/>
      <w:divBdr>
        <w:top w:val="none" w:sz="0" w:space="0" w:color="auto"/>
        <w:left w:val="none" w:sz="0" w:space="0" w:color="auto"/>
        <w:bottom w:val="none" w:sz="0" w:space="0" w:color="auto"/>
        <w:right w:val="none" w:sz="0" w:space="0" w:color="auto"/>
      </w:divBdr>
      <w:divsChild>
        <w:div w:id="1766345262">
          <w:marLeft w:val="0"/>
          <w:marRight w:val="0"/>
          <w:marTop w:val="0"/>
          <w:marBottom w:val="0"/>
          <w:divBdr>
            <w:top w:val="none" w:sz="0" w:space="0" w:color="auto"/>
            <w:left w:val="none" w:sz="0" w:space="0" w:color="auto"/>
            <w:bottom w:val="none" w:sz="0" w:space="0" w:color="auto"/>
            <w:right w:val="none" w:sz="0" w:space="0" w:color="auto"/>
          </w:divBdr>
          <w:divsChild>
            <w:div w:id="1084377266">
              <w:marLeft w:val="0"/>
              <w:marRight w:val="0"/>
              <w:marTop w:val="0"/>
              <w:marBottom w:val="0"/>
              <w:divBdr>
                <w:top w:val="none" w:sz="0" w:space="0" w:color="auto"/>
                <w:left w:val="none" w:sz="0" w:space="0" w:color="auto"/>
                <w:bottom w:val="none" w:sz="0" w:space="0" w:color="auto"/>
                <w:right w:val="none" w:sz="0" w:space="0" w:color="auto"/>
              </w:divBdr>
              <w:divsChild>
                <w:div w:id="19226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0229">
      <w:bodyDiv w:val="1"/>
      <w:marLeft w:val="0"/>
      <w:marRight w:val="0"/>
      <w:marTop w:val="0"/>
      <w:marBottom w:val="0"/>
      <w:divBdr>
        <w:top w:val="none" w:sz="0" w:space="0" w:color="auto"/>
        <w:left w:val="none" w:sz="0" w:space="0" w:color="auto"/>
        <w:bottom w:val="none" w:sz="0" w:space="0" w:color="auto"/>
        <w:right w:val="none" w:sz="0" w:space="0" w:color="auto"/>
      </w:divBdr>
    </w:div>
    <w:div w:id="1909918094">
      <w:bodyDiv w:val="1"/>
      <w:marLeft w:val="0"/>
      <w:marRight w:val="0"/>
      <w:marTop w:val="0"/>
      <w:marBottom w:val="0"/>
      <w:divBdr>
        <w:top w:val="none" w:sz="0" w:space="0" w:color="auto"/>
        <w:left w:val="none" w:sz="0" w:space="0" w:color="auto"/>
        <w:bottom w:val="none" w:sz="0" w:space="0" w:color="auto"/>
        <w:right w:val="none" w:sz="0" w:space="0" w:color="auto"/>
      </w:divBdr>
      <w:divsChild>
        <w:div w:id="617758267">
          <w:marLeft w:val="0"/>
          <w:marRight w:val="0"/>
          <w:marTop w:val="0"/>
          <w:marBottom w:val="0"/>
          <w:divBdr>
            <w:top w:val="none" w:sz="0" w:space="0" w:color="auto"/>
            <w:left w:val="none" w:sz="0" w:space="0" w:color="auto"/>
            <w:bottom w:val="none" w:sz="0" w:space="0" w:color="auto"/>
            <w:right w:val="none" w:sz="0" w:space="0" w:color="auto"/>
          </w:divBdr>
          <w:divsChild>
            <w:div w:id="768817711">
              <w:marLeft w:val="0"/>
              <w:marRight w:val="0"/>
              <w:marTop w:val="0"/>
              <w:marBottom w:val="0"/>
              <w:divBdr>
                <w:top w:val="none" w:sz="0" w:space="0" w:color="auto"/>
                <w:left w:val="none" w:sz="0" w:space="0" w:color="auto"/>
                <w:bottom w:val="none" w:sz="0" w:space="0" w:color="auto"/>
                <w:right w:val="none" w:sz="0" w:space="0" w:color="auto"/>
              </w:divBdr>
              <w:divsChild>
                <w:div w:id="461654756">
                  <w:marLeft w:val="0"/>
                  <w:marRight w:val="0"/>
                  <w:marTop w:val="0"/>
                  <w:marBottom w:val="0"/>
                  <w:divBdr>
                    <w:top w:val="none" w:sz="0" w:space="0" w:color="auto"/>
                    <w:left w:val="none" w:sz="0" w:space="0" w:color="auto"/>
                    <w:bottom w:val="none" w:sz="0" w:space="0" w:color="auto"/>
                    <w:right w:val="none" w:sz="0" w:space="0" w:color="auto"/>
                  </w:divBdr>
                  <w:divsChild>
                    <w:div w:id="1243756735">
                      <w:marLeft w:val="0"/>
                      <w:marRight w:val="0"/>
                      <w:marTop w:val="0"/>
                      <w:marBottom w:val="0"/>
                      <w:divBdr>
                        <w:top w:val="none" w:sz="0" w:space="0" w:color="auto"/>
                        <w:left w:val="none" w:sz="0" w:space="0" w:color="auto"/>
                        <w:bottom w:val="none" w:sz="0" w:space="0" w:color="auto"/>
                        <w:right w:val="none" w:sz="0" w:space="0" w:color="auto"/>
                      </w:divBdr>
                      <w:divsChild>
                        <w:div w:id="7027648">
                          <w:marLeft w:val="0"/>
                          <w:marRight w:val="0"/>
                          <w:marTop w:val="0"/>
                          <w:marBottom w:val="0"/>
                          <w:divBdr>
                            <w:top w:val="none" w:sz="0" w:space="0" w:color="auto"/>
                            <w:left w:val="none" w:sz="0" w:space="0" w:color="auto"/>
                            <w:bottom w:val="none" w:sz="0" w:space="0" w:color="auto"/>
                            <w:right w:val="none" w:sz="0" w:space="0" w:color="auto"/>
                          </w:divBdr>
                          <w:divsChild>
                            <w:div w:id="17469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59313">
      <w:bodyDiv w:val="1"/>
      <w:marLeft w:val="0"/>
      <w:marRight w:val="0"/>
      <w:marTop w:val="0"/>
      <w:marBottom w:val="0"/>
      <w:divBdr>
        <w:top w:val="none" w:sz="0" w:space="0" w:color="auto"/>
        <w:left w:val="none" w:sz="0" w:space="0" w:color="auto"/>
        <w:bottom w:val="none" w:sz="0" w:space="0" w:color="auto"/>
        <w:right w:val="none" w:sz="0" w:space="0" w:color="auto"/>
      </w:divBdr>
      <w:divsChild>
        <w:div w:id="200633378">
          <w:marLeft w:val="0"/>
          <w:marRight w:val="0"/>
          <w:marTop w:val="0"/>
          <w:marBottom w:val="0"/>
          <w:divBdr>
            <w:top w:val="none" w:sz="0" w:space="0" w:color="auto"/>
            <w:left w:val="none" w:sz="0" w:space="0" w:color="auto"/>
            <w:bottom w:val="none" w:sz="0" w:space="0" w:color="auto"/>
            <w:right w:val="none" w:sz="0" w:space="0" w:color="auto"/>
          </w:divBdr>
          <w:divsChild>
            <w:div w:id="1153453265">
              <w:marLeft w:val="0"/>
              <w:marRight w:val="0"/>
              <w:marTop w:val="0"/>
              <w:marBottom w:val="0"/>
              <w:divBdr>
                <w:top w:val="none" w:sz="0" w:space="0" w:color="auto"/>
                <w:left w:val="none" w:sz="0" w:space="0" w:color="auto"/>
                <w:bottom w:val="none" w:sz="0" w:space="0" w:color="auto"/>
                <w:right w:val="none" w:sz="0" w:space="0" w:color="auto"/>
              </w:divBdr>
              <w:divsChild>
                <w:div w:id="2413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1658">
      <w:bodyDiv w:val="1"/>
      <w:marLeft w:val="0"/>
      <w:marRight w:val="0"/>
      <w:marTop w:val="0"/>
      <w:marBottom w:val="0"/>
      <w:divBdr>
        <w:top w:val="none" w:sz="0" w:space="0" w:color="auto"/>
        <w:left w:val="none" w:sz="0" w:space="0" w:color="auto"/>
        <w:bottom w:val="none" w:sz="0" w:space="0" w:color="auto"/>
        <w:right w:val="none" w:sz="0" w:space="0" w:color="auto"/>
      </w:divBdr>
    </w:div>
    <w:div w:id="1973753545">
      <w:bodyDiv w:val="1"/>
      <w:marLeft w:val="0"/>
      <w:marRight w:val="0"/>
      <w:marTop w:val="0"/>
      <w:marBottom w:val="0"/>
      <w:divBdr>
        <w:top w:val="none" w:sz="0" w:space="0" w:color="auto"/>
        <w:left w:val="none" w:sz="0" w:space="0" w:color="auto"/>
        <w:bottom w:val="none" w:sz="0" w:space="0" w:color="auto"/>
        <w:right w:val="none" w:sz="0" w:space="0" w:color="auto"/>
      </w:divBdr>
    </w:div>
    <w:div w:id="2078432271">
      <w:bodyDiv w:val="1"/>
      <w:marLeft w:val="0"/>
      <w:marRight w:val="0"/>
      <w:marTop w:val="0"/>
      <w:marBottom w:val="0"/>
      <w:divBdr>
        <w:top w:val="none" w:sz="0" w:space="0" w:color="auto"/>
        <w:left w:val="none" w:sz="0" w:space="0" w:color="auto"/>
        <w:bottom w:val="none" w:sz="0" w:space="0" w:color="auto"/>
        <w:right w:val="none" w:sz="0" w:space="0" w:color="auto"/>
      </w:divBdr>
      <w:divsChild>
        <w:div w:id="2127652574">
          <w:marLeft w:val="0"/>
          <w:marRight w:val="0"/>
          <w:marTop w:val="0"/>
          <w:marBottom w:val="0"/>
          <w:divBdr>
            <w:top w:val="none" w:sz="0" w:space="0" w:color="auto"/>
            <w:left w:val="none" w:sz="0" w:space="0" w:color="auto"/>
            <w:bottom w:val="none" w:sz="0" w:space="0" w:color="auto"/>
            <w:right w:val="none" w:sz="0" w:space="0" w:color="auto"/>
          </w:divBdr>
          <w:divsChild>
            <w:div w:id="1598253587">
              <w:marLeft w:val="0"/>
              <w:marRight w:val="0"/>
              <w:marTop w:val="0"/>
              <w:marBottom w:val="0"/>
              <w:divBdr>
                <w:top w:val="none" w:sz="0" w:space="0" w:color="auto"/>
                <w:left w:val="none" w:sz="0" w:space="0" w:color="auto"/>
                <w:bottom w:val="none" w:sz="0" w:space="0" w:color="auto"/>
                <w:right w:val="none" w:sz="0" w:space="0" w:color="auto"/>
              </w:divBdr>
              <w:divsChild>
                <w:div w:id="544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gle/n3LRucQ14mEUADZG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F717-9E3A-42E2-BECF-03693CF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2627</Words>
  <Characters>14976</Characters>
  <Application>Microsoft Office Word</Application>
  <DocSecurity>0</DocSecurity>
  <Lines>124</Lines>
  <Paragraphs>35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MRABET Rachid;ibtissem  taghouti</dc:creator>
  <cp:keywords/>
  <dc:description/>
  <cp:lastModifiedBy>Revisor 1</cp:lastModifiedBy>
  <cp:revision>3</cp:revision>
  <dcterms:created xsi:type="dcterms:W3CDTF">2025-03-27T23:03:00Z</dcterms:created>
  <dcterms:modified xsi:type="dcterms:W3CDTF">2025-12-22T13:59:00Z</dcterms:modified>
</cp:coreProperties>
</file>